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5A7345" w:rsidRDefault="00E77213">
      <w:pPr>
        <w:pStyle w:val="aa"/>
        <w:spacing w:before="0" w:beforeAutospacing="0" w:after="0" w:afterAutospacing="0" w:line="450" w:lineRule="atLeast"/>
        <w:jc w:val="center"/>
        <w:rPr>
          <w:sz w:val="21"/>
          <w:szCs w:val="21"/>
        </w:rPr>
      </w:pPr>
      <w:r>
        <w:rPr>
          <w:noProof/>
        </w:rPr>
        <w:drawing>
          <wp:inline distT="0" distB="0" distL="0" distR="0">
            <wp:extent cx="3909695"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5A7345" w:rsidRDefault="00E77213">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F120A4" w:rsidRPr="00F120A4">
        <w:rPr>
          <w:rStyle w:val="ac"/>
          <w:rFonts w:hint="eastAsia"/>
          <w:color w:val="333333"/>
          <w:sz w:val="28"/>
          <w:szCs w:val="28"/>
          <w:u w:val="single"/>
          <w:shd w:val="clear" w:color="auto" w:fill="FFFFFF"/>
        </w:rPr>
        <w:t>教学科研一体化</w:t>
      </w:r>
      <w:r w:rsidR="00F120A4" w:rsidRPr="00F120A4">
        <w:rPr>
          <w:rStyle w:val="ac"/>
          <w:color w:val="333333"/>
          <w:sz w:val="28"/>
          <w:szCs w:val="28"/>
          <w:u w:val="single"/>
          <w:shd w:val="clear" w:color="auto" w:fill="FFFFFF"/>
        </w:rPr>
        <w:t>AI算力共享平台建设项目</w:t>
      </w:r>
      <w:r>
        <w:rPr>
          <w:rStyle w:val="ac"/>
          <w:rFonts w:hint="eastAsia"/>
          <w:color w:val="333333"/>
          <w:sz w:val="28"/>
          <w:szCs w:val="28"/>
          <w:u w:val="single"/>
          <w:shd w:val="clear" w:color="auto" w:fill="FFFFFF"/>
        </w:rPr>
        <w:t xml:space="preserve">                </w:t>
      </w:r>
    </w:p>
    <w:p w:rsidR="005A7345" w:rsidRDefault="00E77213">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G2026-0</w:t>
      </w:r>
      <w:r w:rsidR="00F120A4">
        <w:rPr>
          <w:rStyle w:val="ac"/>
          <w:rFonts w:hint="eastAsia"/>
          <w:color w:val="333333"/>
          <w:sz w:val="28"/>
          <w:szCs w:val="28"/>
          <w:u w:val="single"/>
          <w:shd w:val="clear" w:color="auto" w:fill="FFFFFF"/>
        </w:rPr>
        <w:t>9</w:t>
      </w:r>
      <w:r>
        <w:rPr>
          <w:rStyle w:val="ac"/>
          <w:rFonts w:hint="eastAsia"/>
          <w:color w:val="333333"/>
          <w:sz w:val="28"/>
          <w:szCs w:val="28"/>
          <w:u w:val="single"/>
          <w:shd w:val="clear" w:color="auto" w:fill="FFFFFF"/>
        </w:rPr>
        <w:t xml:space="preserve"> </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5A7345" w:rsidRDefault="00E77213">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5A7345" w:rsidRDefault="00E77213">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5A7345" w:rsidRDefault="00E77213">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二○二六年</w:t>
      </w:r>
      <w:r w:rsidR="00F120A4">
        <w:rPr>
          <w:rStyle w:val="ac"/>
          <w:rFonts w:hint="eastAsia"/>
          <w:color w:val="333333"/>
          <w:sz w:val="52"/>
          <w:szCs w:val="52"/>
          <w:shd w:val="clear" w:color="auto" w:fill="FFFFFF"/>
        </w:rPr>
        <w:t>五</w:t>
      </w:r>
      <w:r>
        <w:rPr>
          <w:rStyle w:val="ac"/>
          <w:rFonts w:hint="eastAsia"/>
          <w:color w:val="333333"/>
          <w:sz w:val="52"/>
          <w:szCs w:val="52"/>
          <w:shd w:val="clear" w:color="auto" w:fill="FFFFFF"/>
        </w:rPr>
        <w:t>月</w:t>
      </w: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5A7345" w:rsidRPr="00E77213" w:rsidRDefault="00E77213">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F120A4" w:rsidRPr="00F120A4">
        <w:rPr>
          <w:rFonts w:ascii="仿宋" w:eastAsia="仿宋" w:hAnsi="仿宋" w:hint="eastAsia"/>
          <w:sz w:val="24"/>
          <w:u w:val="single"/>
        </w:rPr>
        <w:t>教学科研一体化</w:t>
      </w:r>
      <w:r w:rsidR="00F120A4" w:rsidRPr="00F120A4">
        <w:rPr>
          <w:rFonts w:ascii="仿宋" w:eastAsia="仿宋" w:hAnsi="仿宋"/>
          <w:sz w:val="24"/>
          <w:u w:val="single"/>
        </w:rPr>
        <w:t>AI算力共享平台建设项目</w:t>
      </w:r>
      <w:r w:rsidRPr="00E77213">
        <w:rPr>
          <w:rFonts w:ascii="仿宋" w:eastAsia="仿宋" w:hAnsi="仿宋" w:hint="eastAsia"/>
          <w:sz w:val="24"/>
        </w:rPr>
        <w:t>招标，欢迎能满足标书要求的厂商前来投标。</w:t>
      </w:r>
    </w:p>
    <w:p w:rsidR="005A7345" w:rsidRPr="00E77213" w:rsidRDefault="00E77213" w:rsidP="00F120A4">
      <w:pPr>
        <w:pStyle w:val="ad"/>
        <w:numPr>
          <w:ilvl w:val="0"/>
          <w:numId w:val="1"/>
        </w:numPr>
        <w:spacing w:line="420" w:lineRule="exact"/>
        <w:ind w:firstLineChars="0"/>
        <w:jc w:val="left"/>
        <w:rPr>
          <w:rFonts w:ascii="仿宋" w:eastAsia="仿宋" w:hAnsi="仿宋"/>
          <w:sz w:val="24"/>
          <w:u w:val="single"/>
        </w:rPr>
      </w:pPr>
      <w:r w:rsidRPr="00E77213">
        <w:rPr>
          <w:rFonts w:ascii="仿宋" w:eastAsia="仿宋" w:hAnsi="仿宋" w:hint="eastAsia"/>
          <w:b/>
          <w:sz w:val="24"/>
        </w:rPr>
        <w:t>招标项目名称：</w:t>
      </w:r>
      <w:r w:rsidR="00F120A4" w:rsidRPr="00F120A4">
        <w:rPr>
          <w:rFonts w:ascii="仿宋" w:eastAsia="仿宋" w:hAnsi="仿宋" w:hint="eastAsia"/>
          <w:sz w:val="24"/>
          <w:u w:val="single"/>
        </w:rPr>
        <w:t>教学科研一体化</w:t>
      </w:r>
      <w:r w:rsidR="00F120A4" w:rsidRPr="00F120A4">
        <w:rPr>
          <w:rFonts w:ascii="仿宋" w:eastAsia="仿宋" w:hAnsi="仿宋"/>
          <w:sz w:val="24"/>
          <w:u w:val="single"/>
        </w:rPr>
        <w:t>AI算力共享平台建设项目</w:t>
      </w:r>
    </w:p>
    <w:p w:rsidR="005A7345" w:rsidRDefault="00E77213">
      <w:pPr>
        <w:spacing w:line="420" w:lineRule="exact"/>
        <w:ind w:firstLineChars="200" w:firstLine="480"/>
        <w:jc w:val="left"/>
        <w:rPr>
          <w:rFonts w:ascii="仿宋" w:eastAsia="仿宋" w:hAnsi="仿宋"/>
          <w:sz w:val="24"/>
        </w:rPr>
      </w:pPr>
      <w:r w:rsidRPr="00E77213">
        <w:rPr>
          <w:rFonts w:ascii="仿宋" w:eastAsia="仿宋" w:hAnsi="仿宋" w:hint="eastAsia"/>
          <w:sz w:val="24"/>
        </w:rPr>
        <w:t>2026年</w:t>
      </w:r>
      <w:r w:rsidR="00F120A4">
        <w:rPr>
          <w:rFonts w:ascii="仿宋" w:eastAsia="仿宋" w:hAnsi="仿宋" w:hint="eastAsia"/>
          <w:sz w:val="24"/>
        </w:rPr>
        <w:t>6</w:t>
      </w:r>
      <w:r w:rsidRPr="00E77213">
        <w:rPr>
          <w:rFonts w:ascii="仿宋" w:eastAsia="仿宋" w:hAnsi="仿宋" w:hint="eastAsia"/>
          <w:sz w:val="24"/>
        </w:rPr>
        <w:t xml:space="preserve">月 </w:t>
      </w:r>
      <w:r w:rsidR="007E043B">
        <w:rPr>
          <w:rFonts w:ascii="仿宋" w:eastAsia="仿宋" w:hAnsi="仿宋" w:hint="eastAsia"/>
          <w:sz w:val="24"/>
        </w:rPr>
        <w:t>1</w:t>
      </w:r>
      <w:r w:rsidR="00F120A4">
        <w:rPr>
          <w:rFonts w:ascii="仿宋" w:eastAsia="仿宋" w:hAnsi="仿宋" w:hint="eastAsia"/>
          <w:sz w:val="24"/>
        </w:rPr>
        <w:t>0</w:t>
      </w:r>
      <w:r w:rsidRPr="00E77213">
        <w:rPr>
          <w:rFonts w:ascii="仿宋" w:eastAsia="仿宋" w:hAnsi="仿宋" w:hint="eastAsia"/>
          <w:sz w:val="24"/>
        </w:rPr>
        <w:t xml:space="preserve"> 日下午4:00前，请有意向的单位将法人授权委托书、被委托人身份证、联系方式、营业执照副本等上述资料彩色扫描件（全部资料扫描为一个PDF文件）发送至331678357@qq.com邮箱，待招标方审查无误后，将联系供应商进行线上缴纳文件费</w:t>
      </w:r>
      <w:r w:rsidR="00F120A4">
        <w:rPr>
          <w:rFonts w:ascii="仿宋" w:eastAsia="仿宋" w:hAnsi="仿宋" w:hint="eastAsia"/>
          <w:sz w:val="24"/>
        </w:rPr>
        <w:t>，</w:t>
      </w:r>
      <w:r w:rsidR="00F120A4">
        <w:rPr>
          <w:rFonts w:ascii="仿宋" w:eastAsia="仿宋" w:hAnsi="仿宋" w:hint="eastAsia"/>
          <w:sz w:val="24"/>
        </w:rPr>
        <w:t xml:space="preserve">每份招标文件 </w:t>
      </w:r>
      <w:r w:rsidR="00F120A4">
        <w:rPr>
          <w:rFonts w:ascii="仿宋" w:eastAsia="仿宋" w:hAnsi="仿宋" w:hint="eastAsia"/>
          <w:sz w:val="24"/>
          <w:u w:val="single"/>
        </w:rPr>
        <w:t xml:space="preserve">  </w:t>
      </w:r>
      <w:r w:rsidR="00D9721B">
        <w:rPr>
          <w:rFonts w:ascii="仿宋" w:eastAsia="仿宋" w:hAnsi="仿宋" w:hint="eastAsia"/>
          <w:sz w:val="24"/>
          <w:u w:val="single"/>
        </w:rPr>
        <w:t>5</w:t>
      </w:r>
      <w:r w:rsidR="00F120A4">
        <w:rPr>
          <w:rFonts w:ascii="仿宋" w:eastAsia="仿宋" w:hAnsi="仿宋" w:hint="eastAsia"/>
          <w:sz w:val="24"/>
          <w:u w:val="single"/>
        </w:rPr>
        <w:t xml:space="preserve">00元 </w:t>
      </w:r>
      <w:r w:rsidR="00F120A4">
        <w:rPr>
          <w:rFonts w:ascii="仿宋" w:eastAsia="仿宋" w:hAnsi="仿宋" w:hint="eastAsia"/>
          <w:sz w:val="24"/>
        </w:rPr>
        <w:t>（该费用收取后概不退还）</w:t>
      </w:r>
      <w:r>
        <w:rPr>
          <w:rFonts w:ascii="仿宋" w:eastAsia="仿宋" w:hAnsi="仿宋" w:hint="eastAsia"/>
          <w:sz w:val="24"/>
        </w:rPr>
        <w:t>。</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D9578F">
        <w:rPr>
          <w:rFonts w:ascii="仿宋" w:eastAsia="仿宋" w:hAnsi="仿宋" w:hint="eastAsia"/>
          <w:sz w:val="24"/>
        </w:rPr>
        <w:t>老师</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5A7345" w:rsidRDefault="00D9721B">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Pr>
          <w:rFonts w:ascii="仿宋" w:eastAsia="仿宋" w:hAnsi="仿宋" w:hint="eastAsia"/>
          <w:sz w:val="24"/>
          <w:u w:val="single"/>
        </w:rPr>
        <w:t>叁</w:t>
      </w:r>
      <w:bookmarkStart w:id="0" w:name="_GoBack"/>
      <w:bookmarkEnd w:id="0"/>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投标单位于2026年  月  日，将投标文件交到武汉工商学院招投标办公室。如有延误，视为废标；中标单位应在我校规定的时间内来签订合同，逾期视为中标单位放弃中标，我校有权扣留保证金。</w:t>
      </w:r>
    </w:p>
    <w:p w:rsidR="005A7345" w:rsidRDefault="00E77213">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5A7345" w:rsidRDefault="00E77213">
      <w:pPr>
        <w:spacing w:line="420" w:lineRule="exact"/>
        <w:ind w:firstLineChars="200" w:firstLine="482"/>
        <w:rPr>
          <w:rFonts w:ascii="仿宋" w:eastAsia="仿宋" w:hAnsi="仿宋"/>
          <w:sz w:val="24"/>
        </w:rPr>
      </w:pPr>
      <w:r>
        <w:rPr>
          <w:rFonts w:ascii="仿宋" w:eastAsia="仿宋" w:hAnsi="仿宋" w:hint="eastAsia"/>
          <w:b/>
          <w:sz w:val="24"/>
        </w:rPr>
        <w:t>工期：</w:t>
      </w:r>
      <w:r>
        <w:rPr>
          <w:rFonts w:ascii="仿宋" w:eastAsia="仿宋" w:hAnsi="仿宋" w:hint="eastAsia"/>
          <w:sz w:val="24"/>
        </w:rPr>
        <w:t>以招标方要求时间为准。</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5A7345" w:rsidRDefault="00E77213">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5A7345" w:rsidRDefault="00E77213">
      <w:pPr>
        <w:spacing w:line="440" w:lineRule="exact"/>
        <w:rPr>
          <w:rFonts w:ascii="仿宋" w:eastAsia="仿宋" w:hAnsi="仿宋"/>
          <w:sz w:val="24"/>
        </w:rPr>
      </w:pPr>
      <w:r>
        <w:rPr>
          <w:rFonts w:ascii="仿宋" w:eastAsia="仿宋" w:hAnsi="仿宋" w:hint="eastAsia"/>
          <w:sz w:val="24"/>
        </w:rPr>
        <w:t xml:space="preserve">              技术部分：</w:t>
      </w:r>
      <w:r w:rsidR="00F120A4">
        <w:rPr>
          <w:rFonts w:ascii="仿宋" w:eastAsia="仿宋" w:hAnsi="仿宋" w:hint="eastAsia"/>
          <w:sz w:val="24"/>
        </w:rPr>
        <w:t>陈主任</w:t>
      </w:r>
      <w:r>
        <w:rPr>
          <w:rFonts w:ascii="仿宋" w:eastAsia="仿宋" w:hAnsi="仿宋" w:hint="eastAsia"/>
          <w:sz w:val="24"/>
        </w:rPr>
        <w:t xml:space="preserve">  </w:t>
      </w:r>
      <w:r w:rsidR="00F120A4" w:rsidRPr="00F120A4">
        <w:rPr>
          <w:rFonts w:ascii="仿宋" w:eastAsia="仿宋" w:hAnsi="仿宋"/>
          <w:sz w:val="24"/>
        </w:rPr>
        <w:t>13797041848</w:t>
      </w: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Pr="007E043B">
        <w:rPr>
          <w:rFonts w:ascii="仿宋" w:eastAsia="仿宋" w:hAnsi="仿宋" w:hint="eastAsia"/>
          <w:b/>
          <w:sz w:val="24"/>
        </w:rPr>
        <w:t>投标单位如有任何疑问，可以向我方招标负责人进行咨询。</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5A7345" w:rsidRDefault="005A7345"/>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rPr>
          <w:rFonts w:ascii="仿宋" w:eastAsia="仿宋" w:hAnsi="仿宋"/>
          <w:b/>
          <w:sz w:val="32"/>
          <w:szCs w:val="32"/>
        </w:rPr>
        <w:sectPr w:rsidR="005A7345">
          <w:pgSz w:w="11906" w:h="16838"/>
          <w:pgMar w:top="1440" w:right="1800" w:bottom="1440" w:left="1800" w:header="851" w:footer="992" w:gutter="0"/>
          <w:cols w:space="425"/>
          <w:docGrid w:type="lines" w:linePitch="312"/>
        </w:sect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F93DEC" w:rsidRDefault="00F93DEC" w:rsidP="00F93DEC">
      <w:pPr>
        <w:spacing w:line="480" w:lineRule="exact"/>
        <w:rPr>
          <w:rFonts w:ascii="仿宋" w:eastAsia="仿宋" w:hAnsi="仿宋" w:hint="eastAsia"/>
          <w:b/>
          <w:sz w:val="24"/>
          <w:szCs w:val="24"/>
        </w:rPr>
      </w:pPr>
      <w:r>
        <w:rPr>
          <w:rFonts w:ascii="仿宋" w:eastAsia="仿宋" w:hAnsi="仿宋"/>
          <w:b/>
          <w:sz w:val="24"/>
          <w:szCs w:val="24"/>
        </w:rPr>
        <w:t>一、</w:t>
      </w:r>
      <w:r w:rsidRPr="00F93DEC">
        <w:rPr>
          <w:rFonts w:ascii="仿宋" w:eastAsia="仿宋" w:hAnsi="仿宋"/>
          <w:b/>
          <w:sz w:val="24"/>
          <w:szCs w:val="24"/>
        </w:rPr>
        <w:t>采购清单</w:t>
      </w:r>
    </w:p>
    <w:tbl>
      <w:tblPr>
        <w:tblW w:w="9215" w:type="dxa"/>
        <w:tblInd w:w="-176" w:type="dxa"/>
        <w:tblLayout w:type="fixed"/>
        <w:tblLook w:val="04A0" w:firstRow="1" w:lastRow="0" w:firstColumn="1" w:lastColumn="0" w:noHBand="0" w:noVBand="1"/>
      </w:tblPr>
      <w:tblGrid>
        <w:gridCol w:w="1559"/>
        <w:gridCol w:w="4962"/>
        <w:gridCol w:w="709"/>
        <w:gridCol w:w="1985"/>
      </w:tblGrid>
      <w:tr w:rsidR="00F93DEC" w:rsidRPr="00F93DEC" w:rsidTr="00F93DEC">
        <w:trPr>
          <w:trHeight w:val="662"/>
        </w:trPr>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b/>
                <w:bCs/>
                <w:color w:val="000000"/>
                <w:sz w:val="24"/>
                <w:szCs w:val="24"/>
                <w:lang w:bidi="ar"/>
              </w:rPr>
            </w:pPr>
            <w:r w:rsidRPr="00F93DEC">
              <w:rPr>
                <w:rFonts w:ascii="仿宋" w:eastAsia="仿宋" w:hAnsi="仿宋" w:cs="宋体" w:hint="eastAsia"/>
                <w:b/>
                <w:bCs/>
                <w:color w:val="000000"/>
                <w:kern w:val="0"/>
                <w:sz w:val="24"/>
                <w:szCs w:val="24"/>
                <w:lang w:bidi="ar"/>
              </w:rPr>
              <w:t>名称</w:t>
            </w:r>
          </w:p>
        </w:tc>
        <w:tc>
          <w:tcPr>
            <w:tcW w:w="49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93DEC" w:rsidRPr="00F93DEC" w:rsidRDefault="00F93DEC" w:rsidP="00B04631">
            <w:pPr>
              <w:widowControl/>
              <w:jc w:val="center"/>
              <w:textAlignment w:val="center"/>
              <w:rPr>
                <w:rFonts w:ascii="仿宋" w:eastAsia="仿宋" w:hAnsi="仿宋" w:cs="宋体"/>
                <w:b/>
                <w:bCs/>
                <w:color w:val="000000"/>
                <w:sz w:val="24"/>
                <w:szCs w:val="24"/>
                <w:lang w:bidi="ar"/>
              </w:rPr>
            </w:pPr>
            <w:r w:rsidRPr="00F93DEC">
              <w:rPr>
                <w:rFonts w:ascii="仿宋" w:eastAsia="仿宋" w:hAnsi="仿宋" w:cs="宋体" w:hint="eastAsia"/>
                <w:b/>
                <w:bCs/>
                <w:color w:val="000000"/>
                <w:kern w:val="0"/>
                <w:sz w:val="24"/>
                <w:szCs w:val="24"/>
                <w:lang w:bidi="ar"/>
              </w:rPr>
              <w:t>配置说明</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b/>
                <w:bCs/>
                <w:color w:val="000000"/>
                <w:sz w:val="24"/>
                <w:szCs w:val="24"/>
                <w:lang w:bidi="ar"/>
              </w:rPr>
            </w:pPr>
            <w:r w:rsidRPr="00F93DEC">
              <w:rPr>
                <w:rFonts w:ascii="仿宋" w:eastAsia="仿宋" w:hAnsi="仿宋" w:cs="宋体" w:hint="eastAsia"/>
                <w:b/>
                <w:bCs/>
                <w:color w:val="000000"/>
                <w:kern w:val="0"/>
                <w:sz w:val="24"/>
                <w:szCs w:val="24"/>
                <w:lang w:bidi="ar"/>
              </w:rPr>
              <w:t>数量</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b/>
                <w:bCs/>
                <w:color w:val="000000"/>
                <w:sz w:val="24"/>
                <w:szCs w:val="24"/>
                <w:lang w:bidi="ar"/>
              </w:rPr>
            </w:pPr>
            <w:r w:rsidRPr="00F93DEC">
              <w:rPr>
                <w:rFonts w:ascii="仿宋" w:eastAsia="仿宋" w:hAnsi="仿宋" w:cs="宋体" w:hint="eastAsia"/>
                <w:b/>
                <w:bCs/>
                <w:color w:val="000000"/>
                <w:kern w:val="0"/>
                <w:sz w:val="24"/>
                <w:szCs w:val="24"/>
                <w:lang w:bidi="ar"/>
              </w:rPr>
              <w:t>备注</w:t>
            </w:r>
          </w:p>
        </w:tc>
      </w:tr>
      <w:tr w:rsidR="00F93DEC" w:rsidRPr="00F93DEC" w:rsidTr="00F93DEC">
        <w:trPr>
          <w:trHeight w:val="872"/>
        </w:trPr>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F93DEC">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算力一体机配置1</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配置8张RTX 5090 32GB算力卡、虚拟化软件及算力智能调度软件的一体机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kern w:val="0"/>
                <w:sz w:val="24"/>
                <w:szCs w:val="24"/>
                <w:lang w:bidi="ar"/>
              </w:rPr>
              <w:t>1</w:t>
            </w:r>
          </w:p>
        </w:tc>
        <w:tc>
          <w:tcPr>
            <w:tcW w:w="1985" w:type="dxa"/>
            <w:vMerge w:val="restart"/>
            <w:tcBorders>
              <w:top w:val="single" w:sz="4" w:space="0" w:color="000000"/>
              <w:left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bCs/>
                <w:color w:val="000000"/>
                <w:sz w:val="24"/>
                <w:szCs w:val="24"/>
                <w:lang w:bidi="ar"/>
              </w:rPr>
            </w:pPr>
            <w:r w:rsidRPr="00F93DEC">
              <w:rPr>
                <w:rFonts w:ascii="仿宋" w:eastAsia="仿宋" w:hAnsi="仿宋" w:cs="宋体" w:hint="eastAsia"/>
                <w:bCs/>
                <w:color w:val="000000"/>
                <w:kern w:val="0"/>
                <w:sz w:val="24"/>
                <w:szCs w:val="24"/>
                <w:lang w:bidi="ar"/>
              </w:rPr>
              <w:t>两个配置都需要进行单独报价</w:t>
            </w:r>
            <w:r>
              <w:rPr>
                <w:rFonts w:ascii="仿宋" w:eastAsia="仿宋" w:hAnsi="仿宋" w:cs="宋体" w:hint="eastAsia"/>
                <w:bCs/>
                <w:color w:val="000000"/>
                <w:kern w:val="0"/>
                <w:sz w:val="24"/>
                <w:szCs w:val="24"/>
                <w:lang w:bidi="ar"/>
              </w:rPr>
              <w:t>，最终二选一</w:t>
            </w:r>
            <w:r w:rsidRPr="00F93DEC">
              <w:rPr>
                <w:rFonts w:ascii="仿宋" w:eastAsia="仿宋" w:hAnsi="仿宋" w:cs="宋体" w:hint="eastAsia"/>
                <w:bCs/>
                <w:color w:val="000000"/>
                <w:kern w:val="0"/>
                <w:sz w:val="24"/>
                <w:szCs w:val="24"/>
                <w:lang w:bidi="ar"/>
              </w:rPr>
              <w:t>。</w:t>
            </w:r>
          </w:p>
        </w:tc>
      </w:tr>
      <w:tr w:rsidR="00F93DEC" w:rsidRPr="00F93DEC" w:rsidTr="00F93DEC">
        <w:trPr>
          <w:trHeight w:val="883"/>
        </w:trPr>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F93DEC">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算力一体机配置2</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配置4张RTX Pro 6000 96GB算力卡、虚拟化软件及算力智能调度软件的一体机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w:t>
            </w:r>
          </w:p>
        </w:tc>
        <w:tc>
          <w:tcPr>
            <w:tcW w:w="1985" w:type="dxa"/>
            <w:vMerge/>
            <w:tcBorders>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bCs/>
                <w:color w:val="000000"/>
                <w:sz w:val="24"/>
                <w:szCs w:val="24"/>
                <w:lang w:bidi="ar"/>
              </w:rPr>
            </w:pPr>
          </w:p>
        </w:tc>
      </w:tr>
      <w:tr w:rsidR="00F93DEC" w:rsidRPr="00F93DEC" w:rsidTr="00F93DEC">
        <w:trPr>
          <w:trHeight w:val="883"/>
        </w:trPr>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F93DEC">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内存扩容</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原有虚拟化资源池内存紧张，部署新教学系统需要扩容64GB*2根*6台=768GB</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Arial"/>
                <w:bCs/>
                <w:sz w:val="24"/>
                <w:szCs w:val="24"/>
              </w:rPr>
            </w:pPr>
            <w:r w:rsidRPr="00F93DEC">
              <w:rPr>
                <w:rFonts w:ascii="仿宋" w:eastAsia="仿宋" w:hAnsi="仿宋" w:cs="Arial" w:hint="eastAsia"/>
                <w:bCs/>
                <w:sz w:val="24"/>
                <w:szCs w:val="24"/>
              </w:rPr>
              <w:t>用于部署新教学系统需要</w:t>
            </w:r>
          </w:p>
        </w:tc>
      </w:tr>
    </w:tbl>
    <w:p w:rsidR="00F93DEC" w:rsidRDefault="00F93DEC" w:rsidP="00F93DEC">
      <w:pPr>
        <w:spacing w:line="480" w:lineRule="exact"/>
        <w:rPr>
          <w:rFonts w:ascii="仿宋" w:eastAsia="仿宋" w:hAnsi="仿宋" w:hint="eastAsia"/>
          <w:b/>
          <w:sz w:val="24"/>
          <w:szCs w:val="24"/>
        </w:rPr>
      </w:pPr>
      <w:r>
        <w:rPr>
          <w:rFonts w:ascii="仿宋" w:eastAsia="仿宋" w:hAnsi="仿宋"/>
          <w:b/>
          <w:sz w:val="24"/>
          <w:szCs w:val="24"/>
        </w:rPr>
        <w:t>二、技术参数要求</w:t>
      </w:r>
    </w:p>
    <w:p w:rsidR="00F93DEC" w:rsidRPr="00F93DEC" w:rsidRDefault="00F93DEC" w:rsidP="00F93DEC">
      <w:pPr>
        <w:spacing w:line="480" w:lineRule="exact"/>
        <w:jc w:val="left"/>
        <w:outlineLvl w:val="3"/>
        <w:rPr>
          <w:rFonts w:ascii="仿宋" w:eastAsia="仿宋" w:hAnsi="仿宋"/>
          <w:sz w:val="24"/>
          <w:szCs w:val="24"/>
        </w:rPr>
      </w:pPr>
      <w:r w:rsidRPr="00F93DEC">
        <w:rPr>
          <w:rFonts w:ascii="仿宋" w:eastAsia="仿宋" w:hAnsi="仿宋" w:cs="Arial"/>
          <w:b/>
          <w:sz w:val="24"/>
          <w:szCs w:val="24"/>
        </w:rPr>
        <w:t>（1）</w:t>
      </w:r>
      <w:r w:rsidRPr="00F93DEC">
        <w:rPr>
          <w:rFonts w:ascii="仿宋" w:eastAsia="仿宋" w:hAnsi="仿宋" w:cs="Arial" w:hint="eastAsia"/>
          <w:b/>
          <w:sz w:val="24"/>
          <w:szCs w:val="24"/>
        </w:rPr>
        <w:t>算力一体机</w:t>
      </w:r>
      <w:r w:rsidRPr="00F93DEC">
        <w:rPr>
          <w:rFonts w:ascii="仿宋" w:eastAsia="仿宋" w:hAnsi="仿宋" w:cs="Arial"/>
          <w:b/>
          <w:sz w:val="24"/>
          <w:szCs w:val="24"/>
        </w:rPr>
        <w:t>配置</w:t>
      </w:r>
      <w:r w:rsidRPr="00F93DEC">
        <w:rPr>
          <w:rFonts w:ascii="仿宋" w:eastAsia="仿宋" w:hAnsi="仿宋" w:cs="Arial" w:hint="eastAsia"/>
          <w:b/>
          <w:sz w:val="24"/>
          <w:szCs w:val="24"/>
        </w:rPr>
        <w:t>1</w:t>
      </w:r>
    </w:p>
    <w:p w:rsidR="00F93DEC" w:rsidRPr="00F93DEC" w:rsidRDefault="00F93DEC" w:rsidP="00F93DEC">
      <w:pPr>
        <w:spacing w:line="480" w:lineRule="exact"/>
        <w:jc w:val="left"/>
        <w:rPr>
          <w:rFonts w:ascii="仿宋" w:eastAsia="仿宋" w:hAnsi="仿宋" w:cs="Arial"/>
          <w:sz w:val="24"/>
          <w:szCs w:val="24"/>
        </w:rPr>
      </w:pPr>
      <w:r w:rsidRPr="00F93DEC">
        <w:rPr>
          <w:rFonts w:ascii="仿宋" w:eastAsia="仿宋" w:hAnsi="仿宋" w:cs="Arial" w:hint="eastAsia"/>
          <w:sz w:val="24"/>
          <w:szCs w:val="24"/>
        </w:rPr>
        <w:t>采用8卡RTX 5090的算力一体机</w:t>
      </w:r>
    </w:p>
    <w:tbl>
      <w:tblPr>
        <w:tblW w:w="9215" w:type="dxa"/>
        <w:tblInd w:w="-176" w:type="dxa"/>
        <w:tblLayout w:type="fixed"/>
        <w:tblLook w:val="04A0" w:firstRow="1" w:lastRow="0" w:firstColumn="1" w:lastColumn="0" w:noHBand="0" w:noVBand="1"/>
      </w:tblPr>
      <w:tblGrid>
        <w:gridCol w:w="1135"/>
        <w:gridCol w:w="7371"/>
        <w:gridCol w:w="709"/>
      </w:tblGrid>
      <w:tr w:rsidR="00F93DEC" w:rsidRPr="00F93DEC" w:rsidTr="00745806">
        <w:trPr>
          <w:trHeight w:val="511"/>
        </w:trPr>
        <w:tc>
          <w:tcPr>
            <w:tcW w:w="11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名称</w:t>
            </w:r>
          </w:p>
        </w:t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配置</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数量</w:t>
            </w:r>
          </w:p>
        </w:tc>
      </w:tr>
      <w:tr w:rsidR="00F93DEC" w:rsidRPr="00F93DEC" w:rsidTr="00745806">
        <w:trPr>
          <w:trHeight w:val="90"/>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745806">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kern w:val="0"/>
                <w:sz w:val="24"/>
                <w:szCs w:val="24"/>
                <w:lang w:bidi="ar"/>
              </w:rPr>
              <w:t>算力一体机</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3DEC" w:rsidRPr="00F93DEC" w:rsidRDefault="00745806"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一、</w:t>
            </w:r>
            <w:r w:rsidR="00F93DEC" w:rsidRPr="00F93DEC">
              <w:rPr>
                <w:rFonts w:ascii="仿宋" w:eastAsia="仿宋" w:hAnsi="仿宋" w:cs="宋体" w:hint="eastAsia"/>
                <w:b/>
                <w:bCs/>
                <w:color w:val="000000"/>
                <w:kern w:val="0"/>
                <w:sz w:val="24"/>
                <w:szCs w:val="24"/>
                <w:lang w:bidi="ar"/>
              </w:rPr>
              <w:t>配置要求：</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sz w:val="24"/>
                <w:szCs w:val="24"/>
              </w:rPr>
              <w:t xml:space="preserve">1、国内知名品牌，原厂产品非OEM，厂商在2025年中国区服务器厂商销售额排名前5 </w:t>
            </w:r>
            <w:r w:rsidRPr="00F93DEC">
              <w:rPr>
                <w:rFonts w:ascii="仿宋" w:eastAsia="仿宋" w:hAnsi="仿宋" w:cs="宋体" w:hint="eastAsia"/>
                <w:b/>
                <w:bCs/>
                <w:sz w:val="24"/>
                <w:szCs w:val="24"/>
              </w:rPr>
              <w:t>（提供IDC报告）</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2、配置6U高度机架式服务器，支持Intel第五代至强可扩展处理器</w:t>
            </w:r>
            <w:r w:rsidRPr="00F93DEC">
              <w:rPr>
                <w:rFonts w:ascii="仿宋" w:eastAsia="仿宋" w:hAnsi="仿宋" w:hint="eastAsia"/>
                <w:b/>
                <w:bCs/>
                <w:sz w:val="24"/>
                <w:szCs w:val="24"/>
              </w:rPr>
              <w:t>（提供原厂官网链接或技术材料证明）</w:t>
            </w:r>
            <w:r w:rsidRPr="00F93DEC">
              <w:rPr>
                <w:rFonts w:ascii="仿宋" w:eastAsia="仿宋" w:hAnsi="仿宋" w:cs="宋体" w:hint="eastAsia"/>
                <w:color w:val="000000"/>
                <w:kern w:val="0"/>
                <w:sz w:val="24"/>
                <w:szCs w:val="24"/>
                <w:lang w:bidi="ar"/>
              </w:rPr>
              <w:t>；</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 xml:space="preserve">3、配置2个Intel Xeon Gold 6530高性能CPU； </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4、配置≥8条64GB DDR5 5600MHz RDIMM内存，最大32个内存插槽；</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5、配置≥2块960GB 热插拔固态硬盘；</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6、配置≥2块3.84TB 读密集型NVMe PCIe 5.0 x4 热插拔固态硬盘，≥</w:t>
            </w:r>
            <w:r w:rsidRPr="00F93DEC">
              <w:rPr>
                <w:rFonts w:ascii="仿宋" w:eastAsia="仿宋" w:hAnsi="仿宋" w:cs="宋体" w:hint="eastAsia"/>
                <w:sz w:val="24"/>
                <w:szCs w:val="24"/>
              </w:rPr>
              <w:t>12个3.5英寸 SAS/SATA/NVME硬盘位</w:t>
            </w:r>
            <w:r w:rsidRPr="00F93DEC">
              <w:rPr>
                <w:rFonts w:ascii="仿宋" w:eastAsia="仿宋" w:hAnsi="仿宋" w:cs="宋体" w:hint="eastAsia"/>
                <w:color w:val="000000"/>
                <w:kern w:val="0"/>
                <w:sz w:val="24"/>
                <w:szCs w:val="24"/>
                <w:lang w:bidi="ar"/>
              </w:rPr>
              <w:t>；</w:t>
            </w:r>
          </w:p>
          <w:p w:rsidR="00F93DEC" w:rsidRPr="00F93DEC" w:rsidRDefault="00F93DEC" w:rsidP="00B04631">
            <w:pPr>
              <w:widowControl/>
              <w:jc w:val="left"/>
              <w:textAlignment w:val="center"/>
              <w:rPr>
                <w:rFonts w:ascii="仿宋" w:eastAsia="仿宋" w:hAnsi="仿宋" w:cs="宋体"/>
                <w:sz w:val="24"/>
                <w:szCs w:val="24"/>
              </w:rPr>
            </w:pPr>
            <w:r w:rsidRPr="00F93DEC">
              <w:rPr>
                <w:rFonts w:ascii="仿宋" w:eastAsia="仿宋" w:hAnsi="仿宋" w:cs="宋体" w:hint="eastAsia"/>
                <w:sz w:val="24"/>
                <w:szCs w:val="24"/>
              </w:rPr>
              <w:t>7、配置4G缓存阵列卡，支持主流分布式存储软件，配置超级电容，支持掉电保护；</w:t>
            </w:r>
          </w:p>
          <w:p w:rsidR="00F93DEC" w:rsidRPr="00F93DEC" w:rsidRDefault="00F93DEC" w:rsidP="00B04631">
            <w:pPr>
              <w:widowControl/>
              <w:jc w:val="left"/>
              <w:textAlignment w:val="center"/>
              <w:rPr>
                <w:rFonts w:ascii="仿宋" w:eastAsia="仿宋" w:hAnsi="仿宋" w:cs="宋体"/>
                <w:sz w:val="24"/>
                <w:szCs w:val="24"/>
              </w:rPr>
            </w:pPr>
            <w:r w:rsidRPr="00F93DEC">
              <w:rPr>
                <w:rFonts w:ascii="仿宋" w:eastAsia="仿宋" w:hAnsi="仿宋" w:cs="宋体" w:hint="eastAsia"/>
                <w:kern w:val="0"/>
                <w:sz w:val="24"/>
                <w:szCs w:val="24"/>
                <w:lang w:bidi="ar"/>
              </w:rPr>
              <w:t>8、支持≥8张三宽600W GPU</w:t>
            </w:r>
            <w:r w:rsidRPr="00F93DEC">
              <w:rPr>
                <w:rFonts w:ascii="仿宋" w:eastAsia="仿宋" w:hAnsi="仿宋" w:cs="宋体" w:hint="eastAsia"/>
                <w:b/>
                <w:bCs/>
                <w:kern w:val="0"/>
                <w:sz w:val="24"/>
                <w:szCs w:val="24"/>
                <w:lang w:bidi="ar"/>
              </w:rPr>
              <w:t>（提供原厂官网链接和证明材料）</w:t>
            </w:r>
            <w:r w:rsidRPr="00F93DEC">
              <w:rPr>
                <w:rFonts w:ascii="仿宋" w:eastAsia="仿宋" w:hAnsi="仿宋" w:cs="宋体" w:hint="eastAsia"/>
                <w:kern w:val="0"/>
                <w:sz w:val="24"/>
                <w:szCs w:val="24"/>
                <w:lang w:bidi="ar"/>
              </w:rPr>
              <w:t>；</w:t>
            </w:r>
          </w:p>
          <w:p w:rsidR="00F93DEC" w:rsidRPr="00F93DEC" w:rsidRDefault="00F93DEC" w:rsidP="00B04631">
            <w:pPr>
              <w:widowControl/>
              <w:jc w:val="left"/>
              <w:textAlignment w:val="center"/>
              <w:rPr>
                <w:rFonts w:ascii="仿宋" w:eastAsia="仿宋" w:hAnsi="仿宋" w:cs="宋体"/>
                <w:b/>
                <w:bCs/>
                <w:sz w:val="24"/>
                <w:szCs w:val="24"/>
                <w:lang w:bidi="ar"/>
              </w:rPr>
            </w:pPr>
            <w:r w:rsidRPr="00F93DEC">
              <w:rPr>
                <w:rFonts w:ascii="仿宋" w:eastAsia="仿宋" w:hAnsi="仿宋" w:cs="宋体" w:hint="eastAsia"/>
                <w:kern w:val="0"/>
                <w:sz w:val="24"/>
                <w:szCs w:val="24"/>
                <w:lang w:bidi="ar"/>
              </w:rPr>
              <w:t>9、</w:t>
            </w:r>
            <w:r w:rsidRPr="00F93DEC">
              <w:rPr>
                <w:rFonts w:ascii="仿宋" w:eastAsia="仿宋" w:hAnsi="仿宋" w:cs="宋体" w:hint="eastAsia"/>
                <w:b/>
                <w:bCs/>
                <w:kern w:val="0"/>
                <w:sz w:val="24"/>
                <w:szCs w:val="24"/>
                <w:lang w:bidi="ar"/>
              </w:rPr>
              <w:t>配置≥8块英伟达RTX 5090 32GB 涡扇版GPU；</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10、支持≥1个OCP3.0网卡，配置≥2块10/25Gb 2端口 SFP28 以太网适配器（含25G模块）；</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11、最大支持≥11个PCIe扩展插槽；</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12、配置≥4个2600W冗余电源，支持N+N冗余；</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13、配置热插拔散热风扇，为保证更高效散热性能，可支持选配最多≥14个风扇；</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14、原</w:t>
            </w:r>
            <w:r w:rsidRPr="00F93DEC">
              <w:rPr>
                <w:rFonts w:ascii="仿宋" w:eastAsia="仿宋" w:hAnsi="仿宋" w:hint="eastAsia"/>
                <w:sz w:val="24"/>
                <w:szCs w:val="24"/>
              </w:rPr>
              <w:t>厂商服务体系通过CCCS客户联络中心钻石五星级标准体系认证，原厂通过中国合格评定国家认可委员会实验室认可认证，原厂通过国家信息安全测评信息安全服务资质证书（安全工程类一级）认证，原厂商具有有效的ITSS 信息技术服务标准符合性证书（二级或以</w:t>
            </w:r>
            <w:r w:rsidRPr="00F93DEC">
              <w:rPr>
                <w:rFonts w:ascii="仿宋" w:eastAsia="仿宋" w:hAnsi="仿宋" w:hint="eastAsia"/>
                <w:sz w:val="24"/>
                <w:szCs w:val="24"/>
              </w:rPr>
              <w:lastRenderedPageBreak/>
              <w:t>上），原厂商具有ISO28000：2007认证、静电防护管理体系IEC 61340-5-1:2016认证、GB/T 37977.51-2023认证，</w:t>
            </w:r>
            <w:r w:rsidRPr="00F93DEC">
              <w:rPr>
                <w:rFonts w:ascii="仿宋" w:eastAsia="仿宋" w:hAnsi="仿宋" w:hint="eastAsia"/>
                <w:b/>
                <w:bCs/>
                <w:sz w:val="24"/>
                <w:szCs w:val="24"/>
              </w:rPr>
              <w:t>（提供上述证书扫描件加盖制造厂商公章）</w:t>
            </w:r>
            <w:r w:rsidRPr="00F93DEC">
              <w:rPr>
                <w:rFonts w:ascii="仿宋" w:eastAsia="仿宋" w:hAnsi="仿宋" w:hint="eastAsia"/>
                <w:sz w:val="24"/>
                <w:szCs w:val="24"/>
              </w:rPr>
              <w:t>；</w:t>
            </w:r>
          </w:p>
          <w:p w:rsidR="00F93DEC" w:rsidRPr="00F93DEC" w:rsidRDefault="00F93DEC" w:rsidP="00B04631">
            <w:pPr>
              <w:widowControl/>
              <w:jc w:val="left"/>
              <w:textAlignment w:val="center"/>
              <w:rPr>
                <w:rFonts w:ascii="仿宋" w:eastAsia="仿宋" w:hAnsi="仿宋" w:cs="宋体"/>
                <w:b/>
                <w:bCs/>
                <w:color w:val="000000"/>
                <w:sz w:val="24"/>
                <w:szCs w:val="24"/>
                <w:lang w:bidi="ar"/>
              </w:rPr>
            </w:pPr>
            <w:r w:rsidRPr="00F93DEC">
              <w:rPr>
                <w:rFonts w:ascii="仿宋" w:eastAsia="仿宋" w:hAnsi="仿宋" w:hint="eastAsia"/>
                <w:sz w:val="24"/>
                <w:szCs w:val="24"/>
              </w:rPr>
              <w:t>15、原厂支持硬盘数据丢失拯救服务，由原厂商提供数据拯救服务，原厂商数据拯救服务工程师需具备全工业和信息化岗位技能水平考试证书-数据恢复高级工程师认证，（</w:t>
            </w:r>
            <w:r w:rsidRPr="00F93DEC">
              <w:rPr>
                <w:rFonts w:ascii="仿宋" w:eastAsia="仿宋" w:hAnsi="仿宋" w:hint="eastAsia"/>
                <w:b/>
                <w:bCs/>
                <w:sz w:val="24"/>
                <w:szCs w:val="24"/>
              </w:rPr>
              <w:t>提供证书复印件并加盖原厂公章）</w:t>
            </w:r>
            <w:r w:rsidRPr="00F93DEC">
              <w:rPr>
                <w:rFonts w:ascii="仿宋" w:eastAsia="仿宋" w:hAnsi="仿宋" w:hint="eastAsia"/>
                <w:sz w:val="24"/>
                <w:szCs w:val="24"/>
              </w:rPr>
              <w:t>；进行数据擦除的工具需经国家保密局科技测评中心评测，符合国家保密局标准BMB21-2019《涉及国家秘密的载体销毁与信息清除安全保密要求》中信息清除的技术要求</w:t>
            </w:r>
            <w:r w:rsidRPr="00F93DEC">
              <w:rPr>
                <w:rFonts w:ascii="仿宋" w:eastAsia="仿宋" w:hAnsi="仿宋" w:hint="eastAsia"/>
                <w:b/>
                <w:bCs/>
                <w:sz w:val="24"/>
                <w:szCs w:val="24"/>
              </w:rPr>
              <w:t>（提供证书复印件并加盖原厂公章）；</w:t>
            </w:r>
          </w:p>
          <w:p w:rsidR="00F93DEC" w:rsidRPr="00F93DEC" w:rsidRDefault="00F93DEC" w:rsidP="00B04631">
            <w:pPr>
              <w:widowControl/>
              <w:jc w:val="left"/>
              <w:textAlignment w:val="center"/>
              <w:rPr>
                <w:rFonts w:ascii="仿宋" w:eastAsia="仿宋" w:hAnsi="仿宋"/>
                <w:sz w:val="24"/>
                <w:szCs w:val="24"/>
              </w:rPr>
            </w:pPr>
            <w:r w:rsidRPr="00F93DEC">
              <w:rPr>
                <w:rFonts w:ascii="仿宋" w:eastAsia="仿宋" w:hAnsi="仿宋" w:hint="eastAsia"/>
                <w:sz w:val="24"/>
                <w:szCs w:val="24"/>
              </w:rPr>
              <w:t>16、所投服务器产品配置的带外管理模块达到固件安全技术要求评估保障等级认证，保障等级为4级。</w:t>
            </w:r>
            <w:r w:rsidRPr="00F93DEC">
              <w:rPr>
                <w:rFonts w:ascii="仿宋" w:eastAsia="仿宋" w:hAnsi="仿宋" w:hint="eastAsia"/>
                <w:b/>
                <w:bCs/>
                <w:sz w:val="24"/>
                <w:szCs w:val="24"/>
              </w:rPr>
              <w:t>(须提供认证证书复印件并加盖公章)；</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17、厂商拥有人工智能管理体系认证ISO/IEC 42001认证证书。</w:t>
            </w:r>
            <w:r w:rsidRPr="00F93DEC">
              <w:rPr>
                <w:rFonts w:ascii="仿宋" w:eastAsia="仿宋" w:hAnsi="仿宋" w:hint="eastAsia"/>
                <w:b/>
                <w:bCs/>
                <w:sz w:val="24"/>
                <w:szCs w:val="24"/>
              </w:rPr>
              <w:t>(须提供认证证书复印件并加盖公章)</w:t>
            </w:r>
            <w:r w:rsidRPr="00F93DEC">
              <w:rPr>
                <w:rFonts w:ascii="仿宋" w:eastAsia="仿宋" w:hAnsi="仿宋" w:cs="宋体" w:hint="eastAsia"/>
                <w:color w:val="000000"/>
                <w:kern w:val="0"/>
                <w:sz w:val="24"/>
                <w:szCs w:val="24"/>
                <w:lang w:bidi="ar"/>
              </w:rPr>
              <w:t>；</w:t>
            </w:r>
          </w:p>
          <w:p w:rsidR="00F93DEC" w:rsidRPr="00F93DEC" w:rsidRDefault="00745806" w:rsidP="00B04631">
            <w:pPr>
              <w:widowControl/>
              <w:jc w:val="left"/>
              <w:textAlignment w:val="center"/>
              <w:rPr>
                <w:rFonts w:ascii="仿宋" w:eastAsia="仿宋" w:hAnsi="仿宋" w:cs="宋体"/>
                <w:color w:val="000000"/>
                <w:sz w:val="24"/>
                <w:szCs w:val="24"/>
                <w:lang w:bidi="ar"/>
              </w:rPr>
            </w:pPr>
            <w:r>
              <w:rPr>
                <w:rFonts w:ascii="仿宋" w:eastAsia="仿宋" w:hAnsi="仿宋" w:cs="宋体" w:hint="eastAsia"/>
                <w:b/>
                <w:bCs/>
                <w:color w:val="000000"/>
                <w:kern w:val="0"/>
                <w:sz w:val="24"/>
                <w:szCs w:val="24"/>
                <w:lang w:bidi="ar"/>
              </w:rPr>
              <w:t>二、</w:t>
            </w:r>
            <w:r w:rsidR="00F93DEC" w:rsidRPr="00F93DEC">
              <w:rPr>
                <w:rFonts w:ascii="仿宋" w:eastAsia="仿宋" w:hAnsi="仿宋" w:cs="宋体" w:hint="eastAsia"/>
                <w:b/>
                <w:bCs/>
                <w:color w:val="000000"/>
                <w:kern w:val="0"/>
                <w:sz w:val="24"/>
                <w:szCs w:val="24"/>
                <w:lang w:bidi="ar"/>
              </w:rPr>
              <w:t>软件功能配置（提供以下所有功能真实操作界面截图）</w:t>
            </w:r>
            <w:r w:rsidR="00F93DEC" w:rsidRPr="00F93DEC">
              <w:rPr>
                <w:rFonts w:ascii="仿宋" w:eastAsia="仿宋" w:hAnsi="仿宋" w:cs="宋体" w:hint="eastAsia"/>
                <w:color w:val="000000"/>
                <w:kern w:val="0"/>
                <w:sz w:val="24"/>
                <w:szCs w:val="24"/>
                <w:lang w:bidi="ar"/>
              </w:rPr>
              <w:t>：</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1、配置虚拟化功能，支持用户创建虚拟机，并给虚拟机分配对应的算力资源、操作系统、镜像以及存储，支持CPU/内存超分；</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2、支持虚拟机的编辑、开机、关机、重启、删除，支持虚拟机挂载GPU；</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3、支持NVIDIA GPU的Live Migration功能，在不中断用户使用虚拟机的情况下，在线迁移用户正在使用NVIDIA vGPU的虚拟机到另外的服务器上，确保GPU类AI应用的业务连续性。</w:t>
            </w:r>
            <w:r w:rsidRPr="00F93DEC">
              <w:rPr>
                <w:rFonts w:ascii="仿宋" w:eastAsia="仿宋" w:hAnsi="仿宋" w:cs="宋体" w:hint="eastAsia"/>
                <w:b/>
                <w:bCs/>
                <w:color w:val="000000"/>
                <w:kern w:val="0"/>
                <w:sz w:val="24"/>
                <w:szCs w:val="24"/>
                <w:lang w:bidi="ar"/>
              </w:rPr>
              <w:t>（提供NVIDIA官方的证明材料）</w:t>
            </w:r>
            <w:r w:rsidRPr="00F93DEC">
              <w:rPr>
                <w:rFonts w:ascii="仿宋" w:eastAsia="仿宋" w:hAnsi="仿宋" w:cs="宋体" w:hint="eastAsia"/>
                <w:color w:val="000000"/>
                <w:kern w:val="0"/>
                <w:sz w:val="24"/>
                <w:szCs w:val="24"/>
                <w:lang w:bidi="ar"/>
              </w:rPr>
              <w:t>；</w:t>
            </w:r>
          </w:p>
          <w:p w:rsidR="00F93DEC" w:rsidRPr="00F93DEC" w:rsidRDefault="00F93DEC" w:rsidP="00B04631">
            <w:pPr>
              <w:widowControl/>
              <w:jc w:val="left"/>
              <w:textAlignment w:val="center"/>
              <w:rPr>
                <w:rFonts w:ascii="仿宋" w:eastAsia="仿宋" w:hAnsi="仿宋" w:cs="宋体"/>
                <w:b/>
                <w:bCs/>
                <w:sz w:val="24"/>
                <w:szCs w:val="24"/>
                <w:lang w:bidi="ar"/>
              </w:rPr>
            </w:pPr>
            <w:r w:rsidRPr="00F93DEC">
              <w:rPr>
                <w:rFonts w:ascii="仿宋" w:eastAsia="仿宋" w:hAnsi="仿宋" w:cs="宋体" w:hint="eastAsia"/>
                <w:color w:val="000000"/>
                <w:kern w:val="0"/>
                <w:sz w:val="24"/>
                <w:szCs w:val="24"/>
                <w:lang w:bidi="ar"/>
              </w:rPr>
              <w:t>4、配置存储虚拟化功能，基于NVMe SSD的全闪存架构，并提供在线压缩：系统需支持在数据写入存储池和通过网络传输之前，就完成自适应的数据压缩。以降低网络带宽的消耗，并减少实际写入固态硬盘的数据量；提供高性能无损快照：即使单个虚拟机保留极深（≥100个）的快照链，虚拟机的I/O性能和存储系统响应延迟也不得出现明显衰减；快照整合时间需控制在毫秒/秒级</w:t>
            </w:r>
            <w:r w:rsidRPr="00F93DEC">
              <w:rPr>
                <w:rFonts w:ascii="仿宋" w:eastAsia="仿宋" w:hAnsi="仿宋" w:cs="宋体" w:hint="eastAsia"/>
                <w:kern w:val="0"/>
                <w:sz w:val="24"/>
                <w:szCs w:val="24"/>
                <w:lang w:bidi="ar"/>
              </w:rPr>
              <w:t>；</w:t>
            </w:r>
            <w:r w:rsidRPr="00F93DEC">
              <w:rPr>
                <w:rFonts w:ascii="仿宋" w:eastAsia="仿宋" w:hAnsi="仿宋" w:cs="宋体" w:hint="eastAsia"/>
                <w:color w:val="000000"/>
                <w:kern w:val="0"/>
                <w:sz w:val="24"/>
                <w:szCs w:val="24"/>
                <w:lang w:bidi="ar"/>
              </w:rPr>
              <w:t>提供多副本和纠删码的数据高可用保护功能。</w:t>
            </w:r>
            <w:r w:rsidRPr="00F93DEC">
              <w:rPr>
                <w:rFonts w:ascii="仿宋" w:eastAsia="仿宋" w:hAnsi="仿宋" w:cs="宋体" w:hint="eastAsia"/>
                <w:b/>
                <w:bCs/>
                <w:color w:val="000000"/>
                <w:kern w:val="0"/>
                <w:sz w:val="24"/>
                <w:szCs w:val="24"/>
                <w:lang w:bidi="ar"/>
              </w:rPr>
              <w:t>（</w:t>
            </w:r>
            <w:r w:rsidRPr="00F93DEC">
              <w:rPr>
                <w:rFonts w:ascii="仿宋" w:eastAsia="仿宋" w:hAnsi="仿宋" w:cs="宋体" w:hint="eastAsia"/>
                <w:b/>
                <w:bCs/>
                <w:kern w:val="0"/>
                <w:sz w:val="24"/>
                <w:szCs w:val="24"/>
                <w:lang w:bidi="ar"/>
              </w:rPr>
              <w:t>提供原厂官网链接和材料证明）</w:t>
            </w:r>
          </w:p>
          <w:p w:rsidR="00F93DEC" w:rsidRPr="00F93DEC" w:rsidRDefault="00F93DEC" w:rsidP="00B04631">
            <w:pPr>
              <w:widowControl/>
              <w:jc w:val="left"/>
              <w:textAlignment w:val="center"/>
              <w:rPr>
                <w:rFonts w:ascii="仿宋" w:eastAsia="仿宋" w:hAnsi="仿宋" w:cs="宋体"/>
                <w:b/>
                <w:bCs/>
                <w:sz w:val="24"/>
                <w:szCs w:val="24"/>
                <w:lang w:bidi="ar"/>
              </w:rPr>
            </w:pPr>
            <w:r w:rsidRPr="00F93DEC">
              <w:rPr>
                <w:rFonts w:ascii="仿宋" w:eastAsia="仿宋" w:hAnsi="仿宋" w:cs="宋体" w:hint="eastAsia"/>
                <w:color w:val="000000"/>
                <w:kern w:val="0"/>
                <w:sz w:val="24"/>
                <w:szCs w:val="24"/>
                <w:lang w:bidi="ar"/>
              </w:rPr>
              <w:t>5、支持通过可视化界面创建和管理部署Kubernetes集群、纳管Kubernetes集群；支持可视化进行集群的增、删、改、查操作；</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6、算力管理支持项目创建、删除、编辑管理，支持为项目配置名称、描述、关联资源组、项目配额、项目成员；</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7、算力任务及资源操作均以项目为单位进行归属与管理，确保资源隔离与权限控制，资源和任务仅项目成员使用和查看；</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8、支持租户管理员修改项目配额，当减少项目资源配额时，如用户当前资源使用量大于修改后资源限额时，优先保障用户任务运行，用户资源无法发布新任务，当任务停止后资源被释放，回收超出限额部分资源；</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9、支持多算力资源统一纳管，支持英伟达、昇腾、海光、寒武纪、天数、登临、沐曦、阿里等主流厂商的算力卡</w:t>
            </w:r>
            <w:r w:rsidRPr="00F93DEC">
              <w:rPr>
                <w:rFonts w:ascii="仿宋" w:eastAsia="仿宋" w:hAnsi="仿宋" w:cs="宋体" w:hint="eastAsia"/>
                <w:b/>
                <w:bCs/>
                <w:kern w:val="0"/>
                <w:sz w:val="24"/>
                <w:szCs w:val="24"/>
                <w:lang w:bidi="ar"/>
              </w:rPr>
              <w:t>（提供原厂证明材料，并提供兼容性证书和演示视频截图）</w:t>
            </w:r>
            <w:r w:rsidRPr="00F93DEC">
              <w:rPr>
                <w:rFonts w:ascii="仿宋" w:eastAsia="仿宋" w:hAnsi="仿宋" w:cs="宋体" w:hint="eastAsia"/>
                <w:color w:val="000000"/>
                <w:kern w:val="0"/>
                <w:sz w:val="24"/>
                <w:szCs w:val="24"/>
                <w:lang w:bidi="ar"/>
              </w:rPr>
              <w:t>；</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lastRenderedPageBreak/>
              <w:t>10、支持对算力卡资源进行池化及标准化处理，形成标准化算力资源池，如昇腾算力资源池、英伟达算力资源池；</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11、支持算力卡可视化算力卡在线切分管理，前端页面进行算力卡切分和取消切分，支持设备在线状态下任意切换卡的虚拟卡/整卡状态无需重启服务器；</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12、支持池化隔离，支持vGPU多任务隔离保护，异常vGPU任务不影响其他正常任务；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13、支持算力卡按不同规格进行切分，切分操作时可选择一个或多个预设规格；</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14、支持GPU算力卡按照百分比切分算力以及显存，支持国产算力卡的按比例切分，并按照切分规格分配给不同的任务使用。其中GPU算力切分，支持最小算力粒度1%，显存切分支持最小显存粒度1MB；</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15、支持任务根据需求选择使用整卡或虚拟卡；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16、支持单一业务环境调用集群内多个节点的算力卡资源执行分布式任务；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17、同一台GPU算力服务器内，支持虚拟卡和物理卡同时并存，并能切换任意卡的虚拟/物理状态而无需重启服务器；</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18、支持查询单张算力卡的运行状态信息，以及运行于算力卡上的任务实例情况；</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19、支持查看所有算力卡监控信息，包括：算力卡数量、算力卡类型数量、卡均任务数量、平均算力使用率、平均显存使用率；单卡算力使用率、单卡显存使用率、算力卡状态、算力卡模式、切分状态，算力卡温度、算力卡功率，算力卡UUID、算力卡名称、所属节点、算力卡型号；</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20、支持平台用户以API方式调度算力资源，为任务提供算力；</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算力卡调度支持设置任务优先级，支持平铺调度、集中调度，支持亲和/反亲和调度，支持FIFO、gang、 shceduling、Dominant resource fairness、binpack多种调度策略；</w:t>
            </w:r>
            <w:r w:rsidRPr="00F93DEC">
              <w:rPr>
                <w:rFonts w:ascii="仿宋" w:eastAsia="仿宋" w:hAnsi="仿宋" w:cs="宋体" w:hint="eastAsia"/>
                <w:b/>
                <w:bCs/>
                <w:color w:val="000000"/>
                <w:kern w:val="0"/>
                <w:sz w:val="24"/>
                <w:szCs w:val="24"/>
                <w:lang w:bidi="ar"/>
              </w:rPr>
              <w:t>（提供原厂商GPU管理调度相关发明专利证书）</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21、支持可视化根据项目和资源规格创建部署单元、VCJob，可视化创建服务、ConfigMap、Secret；</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22、支持平台用户、租户、管理员创建、编辑、删除Ray集群，Ray集群可以展示client地址，支持将Ray集群设置个人、项目公开和平台公开；</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23、支持可视化基础设施统一管理，包括集群、节点、算力卡、RAY集群多维度的管理视角；</w:t>
            </w:r>
          </w:p>
          <w:p w:rsidR="00F93DEC" w:rsidRPr="00F93DEC" w:rsidRDefault="00F93DEC" w:rsidP="00B04631">
            <w:pPr>
              <w:widowControl/>
              <w:tabs>
                <w:tab w:val="left" w:pos="3830"/>
              </w:tabs>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24、支持Standard、PyTorch、TensorFlow、Mpi、MindSpore训练框架，支持训练任务的创建、编辑、复制、启动/停止、删除；支持训练任务的框架、资源、数据、参数、环境变量、启动命令配置，支持多机多卡、单机多卡、单机单卡、单卡切分训练场景。</w:t>
            </w:r>
          </w:p>
          <w:p w:rsidR="00F93DEC" w:rsidRPr="00F93DEC" w:rsidRDefault="00F93DEC" w:rsidP="00B04631">
            <w:pPr>
              <w:widowControl/>
              <w:tabs>
                <w:tab w:val="left" w:pos="3830"/>
              </w:tabs>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25、支持AutoML搜索超参组合的机器学习增强型服务，简化和自动化机器学习模型开发过程，支持AutoML任务的创建、编辑、删除。</w:t>
            </w:r>
          </w:p>
          <w:p w:rsidR="00F93DEC" w:rsidRPr="00F93DEC" w:rsidRDefault="00F93DEC" w:rsidP="00B04631">
            <w:pPr>
              <w:widowControl/>
              <w:tabs>
                <w:tab w:val="left" w:pos="3830"/>
              </w:tabs>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26、支持LoRA、full、freeze三种微调方式，支持微调任务创建、编辑、停止/启动、导出、删除、详情查看，支持可视化配置微调参</w:t>
            </w:r>
            <w:r w:rsidRPr="00F93DEC">
              <w:rPr>
                <w:rFonts w:ascii="仿宋" w:eastAsia="仿宋" w:hAnsi="仿宋" w:cs="宋体" w:hint="eastAsia"/>
                <w:color w:val="000000"/>
                <w:kern w:val="0"/>
                <w:sz w:val="24"/>
                <w:szCs w:val="24"/>
                <w:lang w:bidi="ar"/>
              </w:rPr>
              <w:lastRenderedPageBreak/>
              <w:t>数、数据。</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27、内置大语言模型、多模态模型、自然语言处理、计算视觉多种大小模型，支持根据芯片架构、AI框架搜索模型，支持模型直接部署、一键微调，支持大模型对话体验。</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28、支持模型文件的导入、重命名、下载、更新、删除，支持对模型进行分类管理和版本管理，支持从模型仓库发布模型到模型市场，支持从模型仓库发起模型微调任务。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29、支持在线推理服务的部署、停止/启动、预测、编辑、扩容和删除，支持Pytorch、TensorFlow、sklearn、onnx、xgboost、lightgbm、vllm、fastchat、xinference推理框架，支持API鉴权，开启API鉴权后，必须使用API key才能访问推理服务。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30、</w:t>
            </w:r>
            <w:r w:rsidRPr="00F93DEC">
              <w:rPr>
                <w:rFonts w:ascii="仿宋" w:eastAsia="仿宋" w:hAnsi="仿宋" w:cs="宋体"/>
                <w:color w:val="000000"/>
                <w:kern w:val="0"/>
                <w:sz w:val="24"/>
                <w:szCs w:val="24"/>
                <w:lang w:bidi="ar"/>
              </w:rPr>
              <w:t>支持可视化创建推理任务，支持配置任务的名称、模型来源、部署方式、模型框架、api地址、自定义镜像、数据挂载、资源组、资源规格、环境变量、共享内存等</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31、提供智能体的创建、配置、管理和发布功能，支持多种类型的智能体。支持用户基于算法开发工具模板，创建Juyper、vscode、pycharm、IDEA、eclipse、webstorm。</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32、可提供工信部直属，具备CNAS证书的第三方测试机构出具的产品功能检测报告，测试报告内容包含，VGPU、加速卡管理相关功能测试</w:t>
            </w:r>
            <w:r w:rsidRPr="00F93DEC">
              <w:rPr>
                <w:rFonts w:ascii="仿宋" w:eastAsia="仿宋" w:hAnsi="仿宋" w:cs="宋体" w:hint="eastAsia"/>
                <w:b/>
                <w:bCs/>
                <w:color w:val="000000"/>
                <w:kern w:val="0"/>
                <w:sz w:val="24"/>
                <w:szCs w:val="24"/>
                <w:lang w:bidi="ar"/>
              </w:rPr>
              <w:t>（提供检测报告）</w:t>
            </w:r>
            <w:r w:rsidRPr="00F93DEC">
              <w:rPr>
                <w:rFonts w:ascii="仿宋" w:eastAsia="仿宋" w:hAnsi="仿宋" w:cs="宋体" w:hint="eastAsia"/>
                <w:color w:val="000000"/>
                <w:kern w:val="0"/>
                <w:sz w:val="24"/>
                <w:szCs w:val="24"/>
                <w:lang w:bidi="ar"/>
              </w:rPr>
              <w:t>。</w:t>
            </w:r>
          </w:p>
          <w:p w:rsidR="00F93DEC" w:rsidRPr="00F93DEC" w:rsidRDefault="00745806"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三、</w:t>
            </w:r>
            <w:r w:rsidR="00F93DEC" w:rsidRPr="00F93DEC">
              <w:rPr>
                <w:rFonts w:ascii="仿宋" w:eastAsia="仿宋" w:hAnsi="仿宋" w:cs="宋体" w:hint="eastAsia"/>
                <w:b/>
                <w:bCs/>
                <w:color w:val="000000"/>
                <w:kern w:val="0"/>
                <w:sz w:val="24"/>
                <w:szCs w:val="24"/>
                <w:lang w:bidi="ar"/>
              </w:rPr>
              <w:t>质保服务：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提供原厂≥3年7*24*4小时</w:t>
            </w:r>
            <w:r w:rsidRPr="00F93DEC">
              <w:rPr>
                <w:rFonts w:ascii="仿宋" w:eastAsia="仿宋" w:hAnsi="仿宋" w:hint="eastAsia"/>
                <w:sz w:val="24"/>
                <w:szCs w:val="24"/>
              </w:rPr>
              <w:t>保修服务</w:t>
            </w:r>
            <w:r w:rsidRPr="00F93DEC">
              <w:rPr>
                <w:rFonts w:ascii="仿宋" w:eastAsia="仿宋" w:hAnsi="仿宋" w:cs="宋体" w:hint="eastAsia"/>
                <w:color w:val="000000"/>
                <w:kern w:val="0"/>
                <w:sz w:val="24"/>
                <w:szCs w:val="24"/>
                <w:lang w:bidi="ar"/>
              </w:rPr>
              <w:t>,</w:t>
            </w:r>
            <w:r w:rsidRPr="00F93DEC">
              <w:rPr>
                <w:rFonts w:ascii="仿宋" w:eastAsia="仿宋" w:hAnsi="仿宋" w:hint="eastAsia"/>
                <w:sz w:val="24"/>
                <w:szCs w:val="24"/>
              </w:rPr>
              <w:t>原厂3年故障硬盘免回收服务，</w:t>
            </w:r>
            <w:r w:rsidR="00D9721B">
              <w:rPr>
                <w:rFonts w:ascii="仿宋" w:eastAsia="仿宋" w:hAnsi="仿宋" w:cs="宋体" w:hint="eastAsia"/>
                <w:color w:val="000000"/>
                <w:kern w:val="0"/>
                <w:sz w:val="24"/>
                <w:szCs w:val="24"/>
                <w:lang w:bidi="ar"/>
              </w:rPr>
              <w:t>中标单位需</w:t>
            </w:r>
            <w:r w:rsidRPr="00F93DEC">
              <w:rPr>
                <w:rFonts w:ascii="仿宋" w:eastAsia="仿宋" w:hAnsi="仿宋" w:cs="宋体" w:hint="eastAsia"/>
                <w:color w:val="000000"/>
                <w:kern w:val="0"/>
                <w:sz w:val="24"/>
                <w:szCs w:val="24"/>
                <w:lang w:bidi="ar"/>
              </w:rPr>
              <w:t>提供原厂商针对此项目的售后服务承诺函原件加盖公章。</w:t>
            </w:r>
          </w:p>
          <w:p w:rsidR="00F93DEC" w:rsidRPr="00F93DEC" w:rsidRDefault="00745806"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四、</w:t>
            </w:r>
            <w:r w:rsidR="00F93DEC" w:rsidRPr="00F93DEC">
              <w:rPr>
                <w:rFonts w:ascii="仿宋" w:eastAsia="仿宋" w:hAnsi="仿宋" w:cs="宋体" w:hint="eastAsia"/>
                <w:b/>
                <w:bCs/>
                <w:color w:val="000000"/>
                <w:kern w:val="0"/>
                <w:sz w:val="24"/>
                <w:szCs w:val="24"/>
                <w:lang w:bidi="ar"/>
              </w:rPr>
              <w:t>实施服务：</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本次项目要求原厂实施交付服务，</w:t>
            </w:r>
            <w:r w:rsidR="00D9721B">
              <w:rPr>
                <w:rFonts w:ascii="仿宋" w:eastAsia="仿宋" w:hAnsi="仿宋" w:cs="宋体" w:hint="eastAsia"/>
                <w:color w:val="000000"/>
                <w:kern w:val="0"/>
                <w:sz w:val="24"/>
                <w:szCs w:val="24"/>
                <w:lang w:bidi="ar"/>
              </w:rPr>
              <w:t>中标单位需</w:t>
            </w:r>
            <w:r w:rsidRPr="00F93DEC">
              <w:rPr>
                <w:rFonts w:ascii="仿宋" w:eastAsia="仿宋" w:hAnsi="仿宋" w:cs="宋体" w:hint="eastAsia"/>
                <w:color w:val="000000"/>
                <w:kern w:val="0"/>
                <w:sz w:val="24"/>
                <w:szCs w:val="24"/>
                <w:lang w:bidi="ar"/>
              </w:rPr>
              <w:t>提供原厂商针对此项目的授权函加盖公章。</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投标供应商工程师需具备AI算力平台运维能力，熟悉算力底层调度技术（Kubernetes、Docker、VM）；工程师必须同时持有CKA（Certified Kubernetes Administrator）和所投虚拟化认证证书，保障技术交付质量；提供工程师的证书原件扫描件及官方查询证明截图。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kern w:val="0"/>
                <w:sz w:val="24"/>
                <w:szCs w:val="24"/>
                <w:lang w:bidi="ar"/>
              </w:rPr>
              <w:lastRenderedPageBreak/>
              <w:t>1</w:t>
            </w:r>
          </w:p>
        </w:tc>
      </w:tr>
    </w:tbl>
    <w:p w:rsidR="00F93DEC" w:rsidRPr="00F93DEC" w:rsidRDefault="00F93DEC" w:rsidP="00745806">
      <w:pPr>
        <w:numPr>
          <w:ilvl w:val="0"/>
          <w:numId w:val="5"/>
        </w:numPr>
        <w:spacing w:line="480" w:lineRule="exact"/>
        <w:jc w:val="left"/>
        <w:outlineLvl w:val="3"/>
        <w:rPr>
          <w:rFonts w:ascii="仿宋" w:eastAsia="仿宋" w:hAnsi="仿宋" w:cs="Arial"/>
          <w:b/>
          <w:sz w:val="24"/>
          <w:szCs w:val="24"/>
        </w:rPr>
      </w:pPr>
      <w:r w:rsidRPr="00F93DEC">
        <w:rPr>
          <w:rFonts w:ascii="仿宋" w:eastAsia="仿宋" w:hAnsi="仿宋" w:cs="Arial" w:hint="eastAsia"/>
          <w:b/>
          <w:sz w:val="24"/>
          <w:szCs w:val="24"/>
        </w:rPr>
        <w:lastRenderedPageBreak/>
        <w:t>算力一体机</w:t>
      </w:r>
      <w:r w:rsidRPr="00F93DEC">
        <w:rPr>
          <w:rFonts w:ascii="仿宋" w:eastAsia="仿宋" w:hAnsi="仿宋" w:cs="Arial"/>
          <w:b/>
          <w:sz w:val="24"/>
          <w:szCs w:val="24"/>
        </w:rPr>
        <w:t>配置</w:t>
      </w:r>
      <w:r w:rsidRPr="00F93DEC">
        <w:rPr>
          <w:rFonts w:ascii="仿宋" w:eastAsia="仿宋" w:hAnsi="仿宋" w:cs="Arial" w:hint="eastAsia"/>
          <w:b/>
          <w:sz w:val="24"/>
          <w:szCs w:val="24"/>
        </w:rPr>
        <w:t>2</w:t>
      </w:r>
    </w:p>
    <w:p w:rsidR="00F93DEC" w:rsidRPr="00F93DEC" w:rsidRDefault="00F93DEC" w:rsidP="00745806">
      <w:pPr>
        <w:spacing w:line="480" w:lineRule="exact"/>
        <w:jc w:val="left"/>
        <w:rPr>
          <w:rFonts w:ascii="仿宋" w:eastAsia="仿宋" w:hAnsi="仿宋" w:cs="宋体"/>
          <w:color w:val="000000"/>
          <w:sz w:val="24"/>
          <w:szCs w:val="24"/>
          <w:lang w:bidi="ar"/>
        </w:rPr>
      </w:pPr>
      <w:r w:rsidRPr="00F93DEC">
        <w:rPr>
          <w:rFonts w:ascii="仿宋" w:eastAsia="仿宋" w:hAnsi="仿宋" w:cs="Arial" w:hint="eastAsia"/>
          <w:sz w:val="24"/>
          <w:szCs w:val="24"/>
        </w:rPr>
        <w:t>配置4卡RTX Pro 6000的算力一体机，后续可以再扩4张RTX Pro 6000卡。</w:t>
      </w:r>
    </w:p>
    <w:tbl>
      <w:tblPr>
        <w:tblW w:w="5407" w:type="pct"/>
        <w:tblInd w:w="-176" w:type="dxa"/>
        <w:tblLayout w:type="fixed"/>
        <w:tblLook w:val="04A0" w:firstRow="1" w:lastRow="0" w:firstColumn="1" w:lastColumn="0" w:noHBand="0" w:noVBand="1"/>
      </w:tblPr>
      <w:tblGrid>
        <w:gridCol w:w="1133"/>
        <w:gridCol w:w="7373"/>
        <w:gridCol w:w="710"/>
      </w:tblGrid>
      <w:tr w:rsidR="00745806" w:rsidRPr="00D9721B" w:rsidTr="00D9721B">
        <w:trPr>
          <w:trHeight w:val="583"/>
        </w:trPr>
        <w:tc>
          <w:tcPr>
            <w:tcW w:w="6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745806" w:rsidRPr="00D9721B" w:rsidRDefault="00745806" w:rsidP="00D9721B">
            <w:pPr>
              <w:widowControl/>
              <w:jc w:val="center"/>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名称</w:t>
            </w:r>
          </w:p>
        </w:tc>
        <w:tc>
          <w:tcPr>
            <w:tcW w:w="4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45806" w:rsidRPr="00D9721B" w:rsidRDefault="00745806" w:rsidP="00D9721B">
            <w:pPr>
              <w:widowControl/>
              <w:jc w:val="center"/>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配置</w:t>
            </w:r>
          </w:p>
        </w:tc>
        <w:tc>
          <w:tcPr>
            <w:tcW w:w="38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45806" w:rsidRPr="00D9721B" w:rsidRDefault="00D9721B" w:rsidP="00D9721B">
            <w:pPr>
              <w:widowControl/>
              <w:jc w:val="center"/>
              <w:textAlignment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数量</w:t>
            </w:r>
          </w:p>
        </w:tc>
      </w:tr>
      <w:tr w:rsidR="00745806" w:rsidRPr="00D9721B" w:rsidTr="00D9721B">
        <w:trPr>
          <w:trHeight w:val="416"/>
        </w:trPr>
        <w:tc>
          <w:tcPr>
            <w:tcW w:w="6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806" w:rsidRPr="00D9721B" w:rsidRDefault="00745806" w:rsidP="00B04631">
            <w:pPr>
              <w:widowControl/>
              <w:jc w:val="left"/>
              <w:textAlignment w:val="center"/>
              <w:rPr>
                <w:rFonts w:ascii="仿宋" w:eastAsia="仿宋" w:hAnsi="仿宋" w:cs="宋体"/>
                <w:color w:val="000000"/>
                <w:sz w:val="24"/>
                <w:szCs w:val="24"/>
              </w:rPr>
            </w:pPr>
            <w:r w:rsidRPr="00D9721B">
              <w:rPr>
                <w:rFonts w:ascii="仿宋" w:eastAsia="仿宋" w:hAnsi="仿宋" w:cs="宋体" w:hint="eastAsia"/>
                <w:color w:val="000000"/>
                <w:kern w:val="0"/>
                <w:sz w:val="24"/>
                <w:szCs w:val="24"/>
                <w:lang w:bidi="ar"/>
              </w:rPr>
              <w:t>算力一体机</w:t>
            </w:r>
          </w:p>
        </w:tc>
        <w:tc>
          <w:tcPr>
            <w:tcW w:w="4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5806" w:rsidRPr="00D9721B" w:rsidRDefault="00D9721B"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一、</w:t>
            </w:r>
            <w:r w:rsidR="00745806" w:rsidRPr="00D9721B">
              <w:rPr>
                <w:rFonts w:ascii="仿宋" w:eastAsia="仿宋" w:hAnsi="仿宋" w:cs="宋体" w:hint="eastAsia"/>
                <w:b/>
                <w:bCs/>
                <w:color w:val="000000"/>
                <w:kern w:val="0"/>
                <w:sz w:val="24"/>
                <w:szCs w:val="24"/>
                <w:lang w:bidi="ar"/>
              </w:rPr>
              <w:t>配置要求：</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sz w:val="24"/>
                <w:szCs w:val="24"/>
              </w:rPr>
              <w:t xml:space="preserve">1、国内知名品牌，原厂产品非OEM，厂商在2025年中国区服务器厂商销售额排名前5 </w:t>
            </w:r>
            <w:r w:rsidRPr="00D9721B">
              <w:rPr>
                <w:rFonts w:ascii="仿宋" w:eastAsia="仿宋" w:hAnsi="仿宋" w:cs="宋体" w:hint="eastAsia"/>
                <w:b/>
                <w:bCs/>
                <w:sz w:val="24"/>
                <w:szCs w:val="24"/>
              </w:rPr>
              <w:t>（提供IDC报告）</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2、配置6U高度机架式服务器，支持Intel第五代至强可扩展处理器</w:t>
            </w:r>
            <w:r w:rsidRPr="00D9721B">
              <w:rPr>
                <w:rFonts w:ascii="仿宋" w:eastAsia="仿宋" w:hAnsi="仿宋" w:hint="eastAsia"/>
                <w:b/>
                <w:bCs/>
                <w:sz w:val="24"/>
                <w:szCs w:val="24"/>
              </w:rPr>
              <w:t>（提供原厂官网链接或技术材料证明）</w:t>
            </w:r>
            <w:r w:rsidRPr="00D9721B">
              <w:rPr>
                <w:rFonts w:ascii="仿宋" w:eastAsia="仿宋" w:hAnsi="仿宋" w:cs="宋体" w:hint="eastAsia"/>
                <w:color w:val="000000"/>
                <w:kern w:val="0"/>
                <w:sz w:val="24"/>
                <w:szCs w:val="24"/>
                <w:lang w:bidi="ar"/>
              </w:rPr>
              <w:t>；</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 xml:space="preserve">3、配置2个Intel Xeon Gold 6530高性能CPU； </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4、配置≥8条64GB DDR5 5600MHz RDIMM内存，最大32个内存插槽；</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5、配置≥2块960GB 热插拔固态硬盘；</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6、配置≥2块3.84TB 读密集型NVMe PCIe 5.0 x4 热插拔固态硬盘，</w:t>
            </w:r>
            <w:r w:rsidRPr="00D9721B">
              <w:rPr>
                <w:rFonts w:ascii="仿宋" w:eastAsia="仿宋" w:hAnsi="仿宋" w:cs="宋体" w:hint="eastAsia"/>
                <w:color w:val="000000"/>
                <w:kern w:val="0"/>
                <w:sz w:val="24"/>
                <w:szCs w:val="24"/>
                <w:lang w:bidi="ar"/>
              </w:rPr>
              <w:lastRenderedPageBreak/>
              <w:t>≥</w:t>
            </w:r>
            <w:r w:rsidRPr="00D9721B">
              <w:rPr>
                <w:rFonts w:ascii="仿宋" w:eastAsia="仿宋" w:hAnsi="仿宋" w:cs="宋体" w:hint="eastAsia"/>
                <w:sz w:val="24"/>
                <w:szCs w:val="24"/>
              </w:rPr>
              <w:t>12个3.5英寸 SAS/SATA/NVME硬盘位</w:t>
            </w:r>
            <w:r w:rsidRPr="00D9721B">
              <w:rPr>
                <w:rFonts w:ascii="仿宋" w:eastAsia="仿宋" w:hAnsi="仿宋" w:cs="宋体" w:hint="eastAsia"/>
                <w:color w:val="000000"/>
                <w:kern w:val="0"/>
                <w:sz w:val="24"/>
                <w:szCs w:val="24"/>
                <w:lang w:bidi="ar"/>
              </w:rPr>
              <w:t>；</w:t>
            </w:r>
          </w:p>
          <w:p w:rsidR="00745806" w:rsidRPr="00D9721B" w:rsidRDefault="00745806" w:rsidP="00B04631">
            <w:pPr>
              <w:widowControl/>
              <w:jc w:val="left"/>
              <w:textAlignment w:val="center"/>
              <w:rPr>
                <w:rFonts w:ascii="仿宋" w:eastAsia="仿宋" w:hAnsi="仿宋" w:cs="宋体"/>
                <w:sz w:val="24"/>
                <w:szCs w:val="24"/>
              </w:rPr>
            </w:pPr>
            <w:r w:rsidRPr="00D9721B">
              <w:rPr>
                <w:rFonts w:ascii="仿宋" w:eastAsia="仿宋" w:hAnsi="仿宋" w:cs="宋体" w:hint="eastAsia"/>
                <w:sz w:val="24"/>
                <w:szCs w:val="24"/>
              </w:rPr>
              <w:t>7、配置4G缓存阵列卡，支持主流分布式存储软件，配置超级电容，支持掉电保护；</w:t>
            </w:r>
          </w:p>
          <w:p w:rsidR="00745806" w:rsidRPr="00D9721B" w:rsidRDefault="00745806" w:rsidP="00B04631">
            <w:pPr>
              <w:widowControl/>
              <w:jc w:val="left"/>
              <w:textAlignment w:val="center"/>
              <w:rPr>
                <w:rFonts w:ascii="仿宋" w:eastAsia="仿宋" w:hAnsi="仿宋" w:cs="宋体"/>
                <w:sz w:val="24"/>
                <w:szCs w:val="24"/>
              </w:rPr>
            </w:pPr>
            <w:r w:rsidRPr="00D9721B">
              <w:rPr>
                <w:rFonts w:ascii="仿宋" w:eastAsia="仿宋" w:hAnsi="仿宋" w:cs="宋体" w:hint="eastAsia"/>
                <w:kern w:val="0"/>
                <w:sz w:val="24"/>
                <w:szCs w:val="24"/>
                <w:lang w:bidi="ar"/>
              </w:rPr>
              <w:t>8、支持≥8张三宽600W GPU</w:t>
            </w:r>
            <w:r w:rsidRPr="00D9721B">
              <w:rPr>
                <w:rFonts w:ascii="仿宋" w:eastAsia="仿宋" w:hAnsi="仿宋" w:cs="宋体" w:hint="eastAsia"/>
                <w:b/>
                <w:bCs/>
                <w:kern w:val="0"/>
                <w:sz w:val="24"/>
                <w:szCs w:val="24"/>
                <w:lang w:bidi="ar"/>
              </w:rPr>
              <w:t>（提供原厂官网链接和证明材料）</w:t>
            </w:r>
            <w:r w:rsidRPr="00D9721B">
              <w:rPr>
                <w:rFonts w:ascii="仿宋" w:eastAsia="仿宋" w:hAnsi="仿宋" w:cs="宋体" w:hint="eastAsia"/>
                <w:kern w:val="0"/>
                <w:sz w:val="24"/>
                <w:szCs w:val="24"/>
                <w:lang w:bidi="ar"/>
              </w:rPr>
              <w:t>；</w:t>
            </w:r>
          </w:p>
          <w:p w:rsidR="00745806" w:rsidRPr="00D9721B" w:rsidRDefault="00745806" w:rsidP="00B04631">
            <w:pPr>
              <w:widowControl/>
              <w:jc w:val="left"/>
              <w:textAlignment w:val="center"/>
              <w:rPr>
                <w:rFonts w:ascii="仿宋" w:eastAsia="仿宋" w:hAnsi="仿宋" w:cs="宋体"/>
                <w:b/>
                <w:bCs/>
                <w:sz w:val="24"/>
                <w:szCs w:val="24"/>
                <w:lang w:bidi="ar"/>
              </w:rPr>
            </w:pPr>
            <w:r w:rsidRPr="00D9721B">
              <w:rPr>
                <w:rFonts w:ascii="仿宋" w:eastAsia="仿宋" w:hAnsi="仿宋" w:cs="宋体" w:hint="eastAsia"/>
                <w:kern w:val="0"/>
                <w:sz w:val="24"/>
                <w:szCs w:val="24"/>
                <w:lang w:bidi="ar"/>
              </w:rPr>
              <w:t>9、</w:t>
            </w:r>
            <w:r w:rsidRPr="00D9721B">
              <w:rPr>
                <w:rFonts w:ascii="仿宋" w:eastAsia="仿宋" w:hAnsi="仿宋" w:cs="宋体" w:hint="eastAsia"/>
                <w:b/>
                <w:bCs/>
                <w:kern w:val="0"/>
                <w:sz w:val="24"/>
                <w:szCs w:val="24"/>
                <w:lang w:bidi="ar"/>
              </w:rPr>
              <w:t>配置≥4块英伟达RTX Pro 6000 96GB服务器版GPU ；</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10、支持≥1个OCP3.0网卡，配置≥2块10/25Gb 2端口 SFP28 以太网适配器（含25G模块）；</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11、最大支持≥11个PCIe扩展插槽；</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12、配置≥4个2600W冗余电源，支持N+N冗余；</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13、配置热插拔散热风扇，为保证更高效散热性能，可支持选配最多≥14个风扇；</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14、原</w:t>
            </w:r>
            <w:r w:rsidRPr="00D9721B">
              <w:rPr>
                <w:rFonts w:ascii="仿宋" w:eastAsia="仿宋" w:hAnsi="仿宋" w:hint="eastAsia"/>
                <w:sz w:val="24"/>
                <w:szCs w:val="24"/>
              </w:rPr>
              <w:t>厂商服务体系通过CCCS客户联络中心钻石五星级标准体系认证，原厂通过中国合格评定国家认可委员会实验室认可认证，原厂通过国家信息安全测评信息安全服务资质证书（安全工程类一级）认证，原厂商具有有效的ITSS 信息技术服务标准符合性证书（二级或以上），原厂商具有ISO28000：2007认证、静电防护管理体系IEC 61340-5-1:2016认证、GB/T 37977.51-2023认证，</w:t>
            </w:r>
            <w:r w:rsidRPr="00D9721B">
              <w:rPr>
                <w:rFonts w:ascii="仿宋" w:eastAsia="仿宋" w:hAnsi="仿宋" w:hint="eastAsia"/>
                <w:b/>
                <w:bCs/>
                <w:sz w:val="24"/>
                <w:szCs w:val="24"/>
              </w:rPr>
              <w:t>（提供上述证书扫描件加盖制造厂商公章）</w:t>
            </w:r>
            <w:r w:rsidRPr="00D9721B">
              <w:rPr>
                <w:rFonts w:ascii="仿宋" w:eastAsia="仿宋" w:hAnsi="仿宋" w:hint="eastAsia"/>
                <w:sz w:val="24"/>
                <w:szCs w:val="24"/>
              </w:rPr>
              <w:t>；</w:t>
            </w:r>
          </w:p>
          <w:p w:rsidR="00745806" w:rsidRPr="00D9721B" w:rsidRDefault="00745806" w:rsidP="00B04631">
            <w:pPr>
              <w:widowControl/>
              <w:jc w:val="left"/>
              <w:textAlignment w:val="center"/>
              <w:rPr>
                <w:rFonts w:ascii="仿宋" w:eastAsia="仿宋" w:hAnsi="仿宋" w:cs="宋体"/>
                <w:b/>
                <w:bCs/>
                <w:color w:val="000000"/>
                <w:sz w:val="24"/>
                <w:szCs w:val="24"/>
                <w:lang w:bidi="ar"/>
              </w:rPr>
            </w:pPr>
            <w:r w:rsidRPr="00D9721B">
              <w:rPr>
                <w:rFonts w:ascii="仿宋" w:eastAsia="仿宋" w:hAnsi="仿宋" w:hint="eastAsia"/>
                <w:sz w:val="24"/>
                <w:szCs w:val="24"/>
              </w:rPr>
              <w:t>15、原厂支持硬盘数据丢失拯救服务，由原厂商提供数据拯救服务，原厂商数据拯救服务工程师需具备全工业和信息化岗位技能水平考试证书-数据恢复高级工程师认证，（</w:t>
            </w:r>
            <w:r w:rsidRPr="00D9721B">
              <w:rPr>
                <w:rFonts w:ascii="仿宋" w:eastAsia="仿宋" w:hAnsi="仿宋" w:hint="eastAsia"/>
                <w:b/>
                <w:bCs/>
                <w:sz w:val="24"/>
                <w:szCs w:val="24"/>
              </w:rPr>
              <w:t>提供证书复印件并加盖原厂公章）</w:t>
            </w:r>
            <w:r w:rsidRPr="00D9721B">
              <w:rPr>
                <w:rFonts w:ascii="仿宋" w:eastAsia="仿宋" w:hAnsi="仿宋" w:hint="eastAsia"/>
                <w:sz w:val="24"/>
                <w:szCs w:val="24"/>
              </w:rPr>
              <w:t>；进行数据擦除的工具需经国家保密局科技测评中心评测，符合国家保密局标准BMB21-2019《涉及国家秘密的载体销毁与信息清除安全保密要求》中信息清除的技术要求</w:t>
            </w:r>
            <w:r w:rsidRPr="00D9721B">
              <w:rPr>
                <w:rFonts w:ascii="仿宋" w:eastAsia="仿宋" w:hAnsi="仿宋" w:hint="eastAsia"/>
                <w:b/>
                <w:bCs/>
                <w:sz w:val="24"/>
                <w:szCs w:val="24"/>
              </w:rPr>
              <w:t>（提供证书复印件并加盖原厂公章）；</w:t>
            </w:r>
          </w:p>
          <w:p w:rsidR="00745806" w:rsidRPr="00D9721B" w:rsidRDefault="00745806" w:rsidP="00B04631">
            <w:pPr>
              <w:widowControl/>
              <w:jc w:val="left"/>
              <w:textAlignment w:val="center"/>
              <w:rPr>
                <w:rFonts w:ascii="仿宋" w:eastAsia="仿宋" w:hAnsi="仿宋"/>
                <w:sz w:val="24"/>
                <w:szCs w:val="24"/>
              </w:rPr>
            </w:pPr>
            <w:r w:rsidRPr="00D9721B">
              <w:rPr>
                <w:rFonts w:ascii="仿宋" w:eastAsia="仿宋" w:hAnsi="仿宋" w:hint="eastAsia"/>
                <w:sz w:val="24"/>
                <w:szCs w:val="24"/>
              </w:rPr>
              <w:t>16、所投服务器产品配置的带外管理模块达到固件安全技术要求评估保障等级认证，保障等级为4级。</w:t>
            </w:r>
            <w:r w:rsidRPr="00D9721B">
              <w:rPr>
                <w:rFonts w:ascii="仿宋" w:eastAsia="仿宋" w:hAnsi="仿宋" w:hint="eastAsia"/>
                <w:b/>
                <w:bCs/>
                <w:sz w:val="24"/>
                <w:szCs w:val="24"/>
              </w:rPr>
              <w:t>(须提供认证证书复印件并加盖公章)；</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17、厂商拥有人工智能管理体系认证ISO/IEC 42001认证证书。</w:t>
            </w:r>
            <w:r w:rsidRPr="00D9721B">
              <w:rPr>
                <w:rFonts w:ascii="仿宋" w:eastAsia="仿宋" w:hAnsi="仿宋" w:hint="eastAsia"/>
                <w:b/>
                <w:bCs/>
                <w:sz w:val="24"/>
                <w:szCs w:val="24"/>
              </w:rPr>
              <w:t>(须提供认证证书复印件并加盖公章)</w:t>
            </w:r>
            <w:r w:rsidRPr="00D9721B">
              <w:rPr>
                <w:rFonts w:ascii="仿宋" w:eastAsia="仿宋" w:hAnsi="仿宋" w:cs="宋体" w:hint="eastAsia"/>
                <w:color w:val="000000"/>
                <w:kern w:val="0"/>
                <w:sz w:val="24"/>
                <w:szCs w:val="24"/>
                <w:lang w:bidi="ar"/>
              </w:rPr>
              <w:t>；</w:t>
            </w:r>
          </w:p>
          <w:p w:rsidR="00745806" w:rsidRPr="00D9721B" w:rsidRDefault="00D9721B" w:rsidP="00B04631">
            <w:pPr>
              <w:widowControl/>
              <w:jc w:val="left"/>
              <w:textAlignment w:val="center"/>
              <w:rPr>
                <w:rFonts w:ascii="仿宋" w:eastAsia="仿宋" w:hAnsi="仿宋" w:cs="宋体"/>
                <w:color w:val="000000"/>
                <w:sz w:val="24"/>
                <w:szCs w:val="24"/>
                <w:lang w:bidi="ar"/>
              </w:rPr>
            </w:pPr>
            <w:r>
              <w:rPr>
                <w:rFonts w:ascii="仿宋" w:eastAsia="仿宋" w:hAnsi="仿宋" w:cs="宋体" w:hint="eastAsia"/>
                <w:b/>
                <w:bCs/>
                <w:color w:val="000000"/>
                <w:kern w:val="0"/>
                <w:sz w:val="24"/>
                <w:szCs w:val="24"/>
                <w:lang w:bidi="ar"/>
              </w:rPr>
              <w:t>二、</w:t>
            </w:r>
            <w:r w:rsidR="00745806" w:rsidRPr="00D9721B">
              <w:rPr>
                <w:rFonts w:ascii="仿宋" w:eastAsia="仿宋" w:hAnsi="仿宋" w:cs="宋体" w:hint="eastAsia"/>
                <w:b/>
                <w:bCs/>
                <w:color w:val="000000"/>
                <w:kern w:val="0"/>
                <w:sz w:val="24"/>
                <w:szCs w:val="24"/>
                <w:lang w:bidi="ar"/>
              </w:rPr>
              <w:t>软件功能配置（提供以下所有功能真实操作界面截图）</w:t>
            </w:r>
            <w:r w:rsidR="00745806" w:rsidRPr="00D9721B">
              <w:rPr>
                <w:rFonts w:ascii="仿宋" w:eastAsia="仿宋" w:hAnsi="仿宋" w:cs="宋体" w:hint="eastAsia"/>
                <w:color w:val="000000"/>
                <w:kern w:val="0"/>
                <w:sz w:val="24"/>
                <w:szCs w:val="24"/>
                <w:lang w:bidi="ar"/>
              </w:rPr>
              <w:t>：</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1、配置虚拟化功能，支持用户创建虚拟机，并给虚拟机分配对应的算力资源、操作系统、镜像以及存储，支持CPU/内存超分；</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2、支持虚拟机的编辑、开机、关机、重启、删除，支持虚拟机挂载GPU；</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3、支持NVIDIA GPU的Live Migration功能，在不中断用户使用虚拟机的情况下，在线迁移用户正在使用NVIDIA vGPU的虚拟机到另外的服务器上，确保GPU类AI应用的业务连续性。</w:t>
            </w:r>
            <w:r w:rsidRPr="00D9721B">
              <w:rPr>
                <w:rFonts w:ascii="仿宋" w:eastAsia="仿宋" w:hAnsi="仿宋" w:cs="宋体" w:hint="eastAsia"/>
                <w:b/>
                <w:bCs/>
                <w:color w:val="000000"/>
                <w:kern w:val="0"/>
                <w:sz w:val="24"/>
                <w:szCs w:val="24"/>
                <w:lang w:bidi="ar"/>
              </w:rPr>
              <w:t>（提供NVIDIA官方的证明材料）</w:t>
            </w:r>
            <w:r w:rsidRPr="00D9721B">
              <w:rPr>
                <w:rFonts w:ascii="仿宋" w:eastAsia="仿宋" w:hAnsi="仿宋" w:cs="宋体" w:hint="eastAsia"/>
                <w:color w:val="000000"/>
                <w:kern w:val="0"/>
                <w:sz w:val="24"/>
                <w:szCs w:val="24"/>
                <w:lang w:bidi="ar"/>
              </w:rPr>
              <w:t>；</w:t>
            </w:r>
          </w:p>
          <w:p w:rsidR="00745806" w:rsidRPr="00D9721B" w:rsidRDefault="00745806" w:rsidP="00B04631">
            <w:pPr>
              <w:widowControl/>
              <w:jc w:val="left"/>
              <w:textAlignment w:val="center"/>
              <w:rPr>
                <w:rFonts w:ascii="仿宋" w:eastAsia="仿宋" w:hAnsi="仿宋" w:cs="宋体"/>
                <w:b/>
                <w:bCs/>
                <w:sz w:val="24"/>
                <w:szCs w:val="24"/>
                <w:lang w:bidi="ar"/>
              </w:rPr>
            </w:pPr>
            <w:r w:rsidRPr="00D9721B">
              <w:rPr>
                <w:rFonts w:ascii="仿宋" w:eastAsia="仿宋" w:hAnsi="仿宋" w:cs="宋体" w:hint="eastAsia"/>
                <w:color w:val="000000"/>
                <w:kern w:val="0"/>
                <w:sz w:val="24"/>
                <w:szCs w:val="24"/>
                <w:lang w:bidi="ar"/>
              </w:rPr>
              <w:t>4、配置存储虚拟化功能，基于NVMe SSD的全闪存架构，并提供在线压缩：系统需支持在数据写入存储池和通过网络传输之前，就完成自适应的数据压缩。以降低网络带宽的消耗，并减少实际写入固态硬盘的数据量；提供高性能无损快照：即使单个虚拟机保留极深（≥100个）的快照链，虚拟机的I/O性能和存储系统响应延迟也不得出现明</w:t>
            </w:r>
            <w:r w:rsidRPr="00D9721B">
              <w:rPr>
                <w:rFonts w:ascii="仿宋" w:eastAsia="仿宋" w:hAnsi="仿宋" w:cs="宋体" w:hint="eastAsia"/>
                <w:color w:val="000000"/>
                <w:kern w:val="0"/>
                <w:sz w:val="24"/>
                <w:szCs w:val="24"/>
                <w:lang w:bidi="ar"/>
              </w:rPr>
              <w:lastRenderedPageBreak/>
              <w:t>显衰减；快照整合时间需控制在毫秒/秒级</w:t>
            </w:r>
            <w:r w:rsidRPr="00D9721B">
              <w:rPr>
                <w:rFonts w:ascii="仿宋" w:eastAsia="仿宋" w:hAnsi="仿宋" w:cs="宋体" w:hint="eastAsia"/>
                <w:kern w:val="0"/>
                <w:sz w:val="24"/>
                <w:szCs w:val="24"/>
                <w:lang w:bidi="ar"/>
              </w:rPr>
              <w:t>；</w:t>
            </w:r>
            <w:r w:rsidRPr="00D9721B">
              <w:rPr>
                <w:rFonts w:ascii="仿宋" w:eastAsia="仿宋" w:hAnsi="仿宋" w:cs="宋体" w:hint="eastAsia"/>
                <w:color w:val="000000"/>
                <w:kern w:val="0"/>
                <w:sz w:val="24"/>
                <w:szCs w:val="24"/>
                <w:lang w:bidi="ar"/>
              </w:rPr>
              <w:t>提供多副本和纠删码的数据高可用保护功能。</w:t>
            </w:r>
            <w:r w:rsidRPr="00D9721B">
              <w:rPr>
                <w:rFonts w:ascii="仿宋" w:eastAsia="仿宋" w:hAnsi="仿宋" w:cs="宋体" w:hint="eastAsia"/>
                <w:b/>
                <w:bCs/>
                <w:color w:val="000000"/>
                <w:kern w:val="0"/>
                <w:sz w:val="24"/>
                <w:szCs w:val="24"/>
                <w:lang w:bidi="ar"/>
              </w:rPr>
              <w:t>（</w:t>
            </w:r>
            <w:r w:rsidRPr="00D9721B">
              <w:rPr>
                <w:rFonts w:ascii="仿宋" w:eastAsia="仿宋" w:hAnsi="仿宋" w:cs="宋体" w:hint="eastAsia"/>
                <w:b/>
                <w:bCs/>
                <w:kern w:val="0"/>
                <w:sz w:val="24"/>
                <w:szCs w:val="24"/>
                <w:lang w:bidi="ar"/>
              </w:rPr>
              <w:t>提供原厂官网链接和材料证明）</w:t>
            </w:r>
          </w:p>
          <w:p w:rsidR="00745806" w:rsidRPr="00D9721B" w:rsidRDefault="00745806" w:rsidP="00B04631">
            <w:pPr>
              <w:widowControl/>
              <w:jc w:val="left"/>
              <w:textAlignment w:val="center"/>
              <w:rPr>
                <w:rFonts w:ascii="仿宋" w:eastAsia="仿宋" w:hAnsi="仿宋" w:cs="宋体"/>
                <w:b/>
                <w:bCs/>
                <w:sz w:val="24"/>
                <w:szCs w:val="24"/>
                <w:lang w:bidi="ar"/>
              </w:rPr>
            </w:pPr>
            <w:r w:rsidRPr="00D9721B">
              <w:rPr>
                <w:rFonts w:ascii="仿宋" w:eastAsia="仿宋" w:hAnsi="仿宋" w:cs="宋体" w:hint="eastAsia"/>
                <w:color w:val="000000"/>
                <w:kern w:val="0"/>
                <w:sz w:val="24"/>
                <w:szCs w:val="24"/>
                <w:lang w:bidi="ar"/>
              </w:rPr>
              <w:t>5、支持通过可视化界面创建和管理部署Kubernetes集群、纳管Kubernetes集群；支持可视化进行集群的增、删、改、查操作；</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6、算力管理支持项目创建、删除、编辑管理，支持为项目配置名称、描述、关联资源组、项目配额、项目成员；</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7、算力任务及资源操作均以项目为单位进行归属与管理，确保资源隔离与权限控制，资源和任务仅项目成员使用和查看；</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8、支持租户管理员修改项目配额，当减少项目资源配额时，如用户当前资源使用量大于修改后资源限额时，优先保障用户任务运行，用户资源无法发布新任务，当任务停止后资源被释放，回收超出限额部分资源；</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9、支持多算力资源统一纳管，支持英伟达、昇腾、海光、寒武纪、天数、登临、沐曦、阿里等主流厂商的算力卡</w:t>
            </w:r>
            <w:r w:rsidRPr="00D9721B">
              <w:rPr>
                <w:rFonts w:ascii="仿宋" w:eastAsia="仿宋" w:hAnsi="仿宋" w:cs="宋体" w:hint="eastAsia"/>
                <w:b/>
                <w:bCs/>
                <w:kern w:val="0"/>
                <w:sz w:val="24"/>
                <w:szCs w:val="24"/>
                <w:lang w:bidi="ar"/>
              </w:rPr>
              <w:t>（提供原厂证明材料，并提供兼容性证书和演示视频截图）</w:t>
            </w:r>
            <w:r w:rsidRPr="00D9721B">
              <w:rPr>
                <w:rFonts w:ascii="仿宋" w:eastAsia="仿宋" w:hAnsi="仿宋" w:cs="宋体" w:hint="eastAsia"/>
                <w:color w:val="000000"/>
                <w:kern w:val="0"/>
                <w:sz w:val="24"/>
                <w:szCs w:val="24"/>
                <w:lang w:bidi="ar"/>
              </w:rPr>
              <w:t>；</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10、支持对算力卡资源进行池化及标准化处理，形成标准化算力资源池，如昇腾算力资源池、英伟达算力资源池；</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11、支持算力卡可视化算力卡在线切分管理，前端页面进行算力卡切分和取消切分，支持设备在线状态下任意切换卡的虚拟卡/整卡状态无需重启服务器；</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12、支持池化隔离，支持vGPU多任务隔离保护，异常vGPU任务不影响其他正常任务；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13、支持算力卡按不同规格进行切分，切分操作时可选择一个或多个预设规格；</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14、支持GPU算力卡按照百分比切分算力以及显存，支持国产算力卡的按比例切分，并按照切分规格分配给不同的任务使用。其中GPU算力切分，支持最小算力粒度1%，显存切分支持最小显存粒度1MB；</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15、支持任务根据需求选择使用整卡或虚拟卡；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16、支持单一业务环境调用集群内多个节点的算力卡资源执行分布式任务；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17、同一台GPU算力服务器内，支持虚拟卡和物理卡同时并存，并能切换任意卡的虚拟/物理状态而无需重启服务器；</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18、支持查询单张算力卡的运行状态信息，以及运行于算力卡上的任务实例情况；</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19、支持查看所有算力卡监控信息，包括：算力卡数量、算力卡类型数量、卡均任务数量、平均算力使用率、平均显存使用率；单卡算力使用率、单卡显存使用率、算力卡状态、算力卡模式、切分状态，算力卡温度、算力卡功率，算力卡UUID、算力卡名称、所属节点、算力卡型号；</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20、支持平台用户以API方式调度算力资源，为任务提供算力；</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算力卡调度支持设置任务优先级，支持平铺调度、集中调度，支持亲和/反亲和调度，支持FIFO、gang、 shceduling、Dominant resource fairness、binpack多种调度策略；</w:t>
            </w:r>
            <w:r w:rsidRPr="00D9721B">
              <w:rPr>
                <w:rFonts w:ascii="仿宋" w:eastAsia="仿宋" w:hAnsi="仿宋" w:cs="宋体" w:hint="eastAsia"/>
                <w:b/>
                <w:bCs/>
                <w:color w:val="000000"/>
                <w:kern w:val="0"/>
                <w:sz w:val="24"/>
                <w:szCs w:val="24"/>
                <w:lang w:bidi="ar"/>
              </w:rPr>
              <w:t>（提供原厂商GPU管理调度相关发明专利证书）</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lastRenderedPageBreak/>
              <w:t>21、支持可视化根据项目和资源规格创建部署单元、VCJob，可视化创建服务、ConfigMap、Secret；</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22、支持平台用户、租户、管理员创建、编辑、删除Ray集群，Ray集群可以展示client地址，支持将Ray集群设置个人、项目公开和平台公开；</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23、支持可视化基础设施统一管理，包括集群、节点、算力卡、RAY集群多维度的管理视角；</w:t>
            </w:r>
          </w:p>
          <w:p w:rsidR="00745806" w:rsidRPr="00D9721B" w:rsidRDefault="00745806" w:rsidP="00B04631">
            <w:pPr>
              <w:widowControl/>
              <w:tabs>
                <w:tab w:val="left" w:pos="3830"/>
              </w:tabs>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24、支持Standard、PyTorch、TensorFlow、Mpi、MindSpore训练框架，支持训练任务的创建、编辑、复制、启动/停止、删除；支持训练任务的框架、资源、数据、参数、环境变量、启动命令配置，支持多机多卡、单机多卡、单机单卡、单卡切分训练场景。</w:t>
            </w:r>
          </w:p>
          <w:p w:rsidR="00745806" w:rsidRPr="00D9721B" w:rsidRDefault="00745806" w:rsidP="00B04631">
            <w:pPr>
              <w:widowControl/>
              <w:tabs>
                <w:tab w:val="left" w:pos="3830"/>
              </w:tabs>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25、支持AutoML搜索超参组合的机器学习增强型服务，简化和自动化机器学习模型开发过程，支持AutoML任务的创建、编辑、删除。</w:t>
            </w:r>
          </w:p>
          <w:p w:rsidR="00745806" w:rsidRPr="00D9721B" w:rsidRDefault="00745806" w:rsidP="00B04631">
            <w:pPr>
              <w:widowControl/>
              <w:tabs>
                <w:tab w:val="left" w:pos="3830"/>
              </w:tabs>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26、支持LoRA、full、freeze三种微调方式，支持微调任务创建、编辑、停止/启动、导出、删除、详情查看，支持可视化配置微调参数、数据。</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27、内置大语言模型、多模态模型、自然语言处理、计算视觉多种大小模型，支持根据芯片架构、AI框架搜索模型，支持模型直接部署、一键微调，支持大模型对话体验。</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28、支持模型文件的导入、重命名、下载、更新、删除，支持对模型进行分类管理和版本管理，支持从模型仓库发布模型到模型市场，支持从模型仓库发起模型微调任务。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29、支持在线推理服务的部署、停止/启动、预测、编辑、扩容和删除，支持Pytorch、TensorFlow、sklearn、onnx、xgboost、lightgbm、vllm、fastchat、xinference推理框架，支持API鉴权，开启API鉴权后，必须使用API key才能访问推理服务。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30、</w:t>
            </w:r>
            <w:r w:rsidRPr="00D9721B">
              <w:rPr>
                <w:rFonts w:ascii="仿宋" w:eastAsia="仿宋" w:hAnsi="仿宋" w:cs="宋体"/>
                <w:color w:val="000000"/>
                <w:kern w:val="0"/>
                <w:sz w:val="24"/>
                <w:szCs w:val="24"/>
                <w:lang w:bidi="ar"/>
              </w:rPr>
              <w:t>支持可视化创建推理任务，支持配置任务的名称、模型来源、部署方式、模型框架、api地址、自定义镜像、数据挂载、资源组、资源规格、环境变量、共享内存等</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31、提供智能体的创建、配置、管理和发布功能，支持多种类型的智能体。支持用户基于算法开发工具模板，创建Juyper、vscode、pycharm、IDEA、eclipse、webstorm。</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32、可提供工信部直属，具备CNAS证书的第三方测试机构出具的产品功能检测报告，测试报告内容包含，VGPU、加速卡管理相关功能测试</w:t>
            </w:r>
            <w:r w:rsidRPr="00D9721B">
              <w:rPr>
                <w:rFonts w:ascii="仿宋" w:eastAsia="仿宋" w:hAnsi="仿宋" w:cs="宋体" w:hint="eastAsia"/>
                <w:b/>
                <w:bCs/>
                <w:color w:val="000000"/>
                <w:kern w:val="0"/>
                <w:sz w:val="24"/>
                <w:szCs w:val="24"/>
                <w:lang w:bidi="ar"/>
              </w:rPr>
              <w:t>（提供检测报告）</w:t>
            </w:r>
            <w:r w:rsidRPr="00D9721B">
              <w:rPr>
                <w:rFonts w:ascii="仿宋" w:eastAsia="仿宋" w:hAnsi="仿宋" w:cs="宋体" w:hint="eastAsia"/>
                <w:color w:val="000000"/>
                <w:kern w:val="0"/>
                <w:sz w:val="24"/>
                <w:szCs w:val="24"/>
                <w:lang w:bidi="ar"/>
              </w:rPr>
              <w:t>。</w:t>
            </w:r>
          </w:p>
          <w:p w:rsidR="00745806" w:rsidRPr="00D9721B" w:rsidRDefault="00D9721B"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三、</w:t>
            </w:r>
            <w:r w:rsidR="00745806" w:rsidRPr="00D9721B">
              <w:rPr>
                <w:rFonts w:ascii="仿宋" w:eastAsia="仿宋" w:hAnsi="仿宋" w:cs="宋体" w:hint="eastAsia"/>
                <w:b/>
                <w:bCs/>
                <w:color w:val="000000"/>
                <w:kern w:val="0"/>
                <w:sz w:val="24"/>
                <w:szCs w:val="24"/>
                <w:lang w:bidi="ar"/>
              </w:rPr>
              <w:t>质保服务：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提供原厂≥3年7*24*4小时</w:t>
            </w:r>
            <w:r w:rsidRPr="00D9721B">
              <w:rPr>
                <w:rFonts w:ascii="仿宋" w:eastAsia="仿宋" w:hAnsi="仿宋" w:hint="eastAsia"/>
                <w:sz w:val="24"/>
                <w:szCs w:val="24"/>
              </w:rPr>
              <w:t>保修服务</w:t>
            </w:r>
            <w:r w:rsidRPr="00D9721B">
              <w:rPr>
                <w:rFonts w:ascii="仿宋" w:eastAsia="仿宋" w:hAnsi="仿宋" w:cs="宋体" w:hint="eastAsia"/>
                <w:color w:val="000000"/>
                <w:kern w:val="0"/>
                <w:sz w:val="24"/>
                <w:szCs w:val="24"/>
                <w:lang w:bidi="ar"/>
              </w:rPr>
              <w:t>,</w:t>
            </w:r>
            <w:r w:rsidRPr="00D9721B">
              <w:rPr>
                <w:rFonts w:ascii="仿宋" w:eastAsia="仿宋" w:hAnsi="仿宋" w:hint="eastAsia"/>
                <w:sz w:val="24"/>
                <w:szCs w:val="24"/>
              </w:rPr>
              <w:t>原厂3年故障硬盘免回收服务，</w:t>
            </w:r>
            <w:r w:rsidR="00D9721B">
              <w:rPr>
                <w:rFonts w:ascii="仿宋" w:eastAsia="仿宋" w:hAnsi="仿宋" w:cs="宋体" w:hint="eastAsia"/>
                <w:color w:val="000000"/>
                <w:kern w:val="0"/>
                <w:sz w:val="24"/>
                <w:szCs w:val="24"/>
                <w:lang w:bidi="ar"/>
              </w:rPr>
              <w:t>中标单位需</w:t>
            </w:r>
            <w:r w:rsidRPr="00D9721B">
              <w:rPr>
                <w:rFonts w:ascii="仿宋" w:eastAsia="仿宋" w:hAnsi="仿宋" w:cs="宋体" w:hint="eastAsia"/>
                <w:color w:val="000000"/>
                <w:kern w:val="0"/>
                <w:sz w:val="24"/>
                <w:szCs w:val="24"/>
                <w:lang w:bidi="ar"/>
              </w:rPr>
              <w:t>提供原厂商针对此项目的售后服务承诺函原件加盖公章。</w:t>
            </w:r>
          </w:p>
          <w:p w:rsidR="00745806" w:rsidRPr="00D9721B" w:rsidRDefault="00D9721B"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四、</w:t>
            </w:r>
            <w:r w:rsidR="00745806" w:rsidRPr="00D9721B">
              <w:rPr>
                <w:rFonts w:ascii="仿宋" w:eastAsia="仿宋" w:hAnsi="仿宋" w:cs="宋体" w:hint="eastAsia"/>
                <w:b/>
                <w:bCs/>
                <w:color w:val="000000"/>
                <w:kern w:val="0"/>
                <w:sz w:val="24"/>
                <w:szCs w:val="24"/>
                <w:lang w:bidi="ar"/>
              </w:rPr>
              <w:t>实施服务：</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本次项目要求原厂实施交付服务，</w:t>
            </w:r>
            <w:r w:rsidR="00D9721B">
              <w:rPr>
                <w:rFonts w:ascii="仿宋" w:eastAsia="仿宋" w:hAnsi="仿宋" w:cs="宋体" w:hint="eastAsia"/>
                <w:color w:val="000000"/>
                <w:kern w:val="0"/>
                <w:sz w:val="24"/>
                <w:szCs w:val="24"/>
                <w:lang w:bidi="ar"/>
              </w:rPr>
              <w:t>中标单位需</w:t>
            </w:r>
            <w:r w:rsidRPr="00D9721B">
              <w:rPr>
                <w:rFonts w:ascii="仿宋" w:eastAsia="仿宋" w:hAnsi="仿宋" w:cs="宋体" w:hint="eastAsia"/>
                <w:color w:val="000000"/>
                <w:kern w:val="0"/>
                <w:sz w:val="24"/>
                <w:szCs w:val="24"/>
                <w:lang w:bidi="ar"/>
              </w:rPr>
              <w:t>提供原厂商针对此项目的授权函加盖公章。</w:t>
            </w:r>
          </w:p>
          <w:p w:rsidR="00745806" w:rsidRPr="00D9721B" w:rsidRDefault="00745806" w:rsidP="00B04631">
            <w:pPr>
              <w:widowControl/>
              <w:jc w:val="left"/>
              <w:textAlignment w:val="center"/>
              <w:rPr>
                <w:rFonts w:ascii="仿宋" w:eastAsia="仿宋" w:hAnsi="仿宋" w:cs="宋体"/>
                <w:color w:val="000000"/>
                <w:sz w:val="24"/>
                <w:szCs w:val="24"/>
                <w:lang w:bidi="ar"/>
              </w:rPr>
            </w:pPr>
            <w:r w:rsidRPr="00D9721B">
              <w:rPr>
                <w:rFonts w:ascii="仿宋" w:eastAsia="仿宋" w:hAnsi="仿宋" w:cs="宋体" w:hint="eastAsia"/>
                <w:color w:val="000000"/>
                <w:kern w:val="0"/>
                <w:sz w:val="24"/>
                <w:szCs w:val="24"/>
                <w:lang w:bidi="ar"/>
              </w:rPr>
              <w:t>投标供应商工程师需具备AI算力平台运维能力，熟悉算力底层调度技术（Kubernetes、Docker、VM）；工程师必须同时持有CKA（Certified Kubernetes Administrator）和所投虚拟化认证证书，保障技术交付</w:t>
            </w:r>
            <w:r w:rsidRPr="00D9721B">
              <w:rPr>
                <w:rFonts w:ascii="仿宋" w:eastAsia="仿宋" w:hAnsi="仿宋" w:cs="宋体" w:hint="eastAsia"/>
                <w:color w:val="000000"/>
                <w:kern w:val="0"/>
                <w:sz w:val="24"/>
                <w:szCs w:val="24"/>
                <w:lang w:bidi="ar"/>
              </w:rPr>
              <w:lastRenderedPageBreak/>
              <w:t>质量；提供工程师的证书原件扫描件及官方查询证明截图。</w:t>
            </w:r>
          </w:p>
        </w:tc>
        <w:tc>
          <w:tcPr>
            <w:tcW w:w="385" w:type="pct"/>
            <w:tcBorders>
              <w:top w:val="single" w:sz="4" w:space="0" w:color="000000"/>
              <w:left w:val="single" w:sz="4" w:space="0" w:color="000000"/>
              <w:bottom w:val="single" w:sz="4" w:space="0" w:color="000000"/>
              <w:right w:val="single" w:sz="4" w:space="0" w:color="000000"/>
            </w:tcBorders>
            <w:vAlign w:val="center"/>
          </w:tcPr>
          <w:p w:rsidR="00745806" w:rsidRPr="00D9721B" w:rsidRDefault="00D9721B" w:rsidP="00D9721B">
            <w:pPr>
              <w:widowControl/>
              <w:jc w:val="center"/>
              <w:textAlignment w:val="center"/>
              <w:rPr>
                <w:rFonts w:ascii="仿宋" w:eastAsia="仿宋" w:hAnsi="仿宋" w:cs="宋体" w:hint="eastAsia"/>
                <w:bCs/>
                <w:color w:val="000000"/>
                <w:kern w:val="0"/>
                <w:sz w:val="24"/>
                <w:szCs w:val="24"/>
                <w:lang w:bidi="ar"/>
              </w:rPr>
            </w:pPr>
            <w:r w:rsidRPr="00D9721B">
              <w:rPr>
                <w:rFonts w:ascii="仿宋" w:eastAsia="仿宋" w:hAnsi="仿宋" w:cs="宋体" w:hint="eastAsia"/>
                <w:bCs/>
                <w:color w:val="000000"/>
                <w:kern w:val="0"/>
                <w:sz w:val="24"/>
                <w:szCs w:val="24"/>
                <w:lang w:bidi="ar"/>
              </w:rPr>
              <w:lastRenderedPageBreak/>
              <w:t>1</w:t>
            </w:r>
          </w:p>
        </w:tc>
      </w:tr>
    </w:tbl>
    <w:p w:rsidR="00F93DEC" w:rsidRPr="00F93DEC" w:rsidRDefault="00F93DEC" w:rsidP="00D9721B">
      <w:pPr>
        <w:spacing w:line="480" w:lineRule="exact"/>
        <w:outlineLvl w:val="3"/>
        <w:rPr>
          <w:rFonts w:ascii="仿宋" w:eastAsia="仿宋" w:hAnsi="仿宋"/>
          <w:b/>
          <w:sz w:val="24"/>
          <w:szCs w:val="24"/>
        </w:rPr>
      </w:pPr>
      <w:r w:rsidRPr="00F93DEC">
        <w:rPr>
          <w:rFonts w:ascii="仿宋" w:eastAsia="仿宋" w:hAnsi="仿宋" w:cs="Arial"/>
          <w:b/>
          <w:sz w:val="24"/>
          <w:szCs w:val="24"/>
        </w:rPr>
        <w:lastRenderedPageBreak/>
        <w:t>（</w:t>
      </w:r>
      <w:r w:rsidRPr="00F93DEC">
        <w:rPr>
          <w:rFonts w:ascii="仿宋" w:eastAsia="仿宋" w:hAnsi="仿宋" w:cs="Arial" w:hint="eastAsia"/>
          <w:b/>
          <w:sz w:val="24"/>
          <w:szCs w:val="24"/>
        </w:rPr>
        <w:t>3</w:t>
      </w:r>
      <w:r w:rsidRPr="00F93DEC">
        <w:rPr>
          <w:rFonts w:ascii="仿宋" w:eastAsia="仿宋" w:hAnsi="仿宋" w:cs="Arial"/>
          <w:b/>
          <w:sz w:val="24"/>
          <w:szCs w:val="24"/>
        </w:rPr>
        <w:t>）</w:t>
      </w:r>
      <w:r w:rsidRPr="00F93DEC">
        <w:rPr>
          <w:rFonts w:ascii="仿宋" w:eastAsia="仿宋" w:hAnsi="仿宋" w:cs="Arial" w:hint="eastAsia"/>
          <w:b/>
          <w:sz w:val="24"/>
          <w:szCs w:val="24"/>
        </w:rPr>
        <w:t>内存扩容技术要求</w:t>
      </w:r>
    </w:p>
    <w:tbl>
      <w:tblPr>
        <w:tblW w:w="9215" w:type="dxa"/>
        <w:tblInd w:w="-176" w:type="dxa"/>
        <w:tblLayout w:type="fixed"/>
        <w:tblLook w:val="04A0" w:firstRow="1" w:lastRow="0" w:firstColumn="1" w:lastColumn="0" w:noHBand="0" w:noVBand="1"/>
      </w:tblPr>
      <w:tblGrid>
        <w:gridCol w:w="1135"/>
        <w:gridCol w:w="7371"/>
        <w:gridCol w:w="709"/>
      </w:tblGrid>
      <w:tr w:rsidR="00F93DEC" w:rsidRPr="00F93DEC" w:rsidTr="00D9721B">
        <w:trPr>
          <w:trHeight w:val="500"/>
        </w:trPr>
        <w:tc>
          <w:tcPr>
            <w:tcW w:w="11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名称</w:t>
            </w:r>
          </w:p>
        </w:t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配置</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F93DEC" w:rsidRPr="00F93DEC" w:rsidRDefault="00F93DEC" w:rsidP="00B04631">
            <w:pPr>
              <w:widowControl/>
              <w:jc w:val="center"/>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数量</w:t>
            </w:r>
          </w:p>
        </w:tc>
      </w:tr>
      <w:tr w:rsidR="00F93DEC" w:rsidRPr="00F93DEC" w:rsidTr="00D9721B">
        <w:trPr>
          <w:trHeight w:val="90"/>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left"/>
              <w:textAlignment w:val="center"/>
              <w:rPr>
                <w:rFonts w:ascii="仿宋" w:eastAsia="仿宋" w:hAnsi="仿宋" w:cs="宋体"/>
                <w:color w:val="000000"/>
                <w:sz w:val="24"/>
                <w:szCs w:val="24"/>
              </w:rPr>
            </w:pPr>
            <w:r w:rsidRPr="00F93DEC">
              <w:rPr>
                <w:rFonts w:ascii="仿宋" w:eastAsia="仿宋" w:hAnsi="仿宋" w:cs="宋体" w:hint="eastAsia"/>
                <w:color w:val="000000"/>
                <w:kern w:val="0"/>
                <w:sz w:val="24"/>
                <w:szCs w:val="24"/>
                <w:lang w:bidi="ar"/>
              </w:rPr>
              <w:t>内存扩容</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3DEC" w:rsidRPr="00F93DEC" w:rsidRDefault="00D9721B"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一、</w:t>
            </w:r>
            <w:r w:rsidR="00F93DEC" w:rsidRPr="00F93DEC">
              <w:rPr>
                <w:rFonts w:ascii="仿宋" w:eastAsia="仿宋" w:hAnsi="仿宋" w:cs="宋体" w:hint="eastAsia"/>
                <w:b/>
                <w:bCs/>
                <w:color w:val="000000"/>
                <w:kern w:val="0"/>
                <w:sz w:val="24"/>
                <w:szCs w:val="24"/>
                <w:lang w:bidi="ar"/>
              </w:rPr>
              <w:t>硬件规格要求：</w:t>
            </w:r>
          </w:p>
          <w:p w:rsidR="00F93DEC" w:rsidRPr="00F93DEC" w:rsidRDefault="00F93DEC" w:rsidP="00B04631">
            <w:pPr>
              <w:widowControl/>
              <w:jc w:val="left"/>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1、配置12根64GB DDR5 RDIMM，5600MT/s ECC纠错</w:t>
            </w:r>
          </w:p>
          <w:p w:rsidR="00F93DEC" w:rsidRPr="00F93DEC" w:rsidRDefault="00F93DEC" w:rsidP="00B04631">
            <w:pPr>
              <w:widowControl/>
              <w:jc w:val="left"/>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2、兼容戴尔PowerEdge R760服务器</w:t>
            </w:r>
          </w:p>
          <w:p w:rsidR="00F93DEC" w:rsidRPr="00F93DEC" w:rsidRDefault="00F93DEC" w:rsidP="00B04631">
            <w:pPr>
              <w:widowControl/>
              <w:jc w:val="left"/>
              <w:textAlignment w:val="center"/>
              <w:rPr>
                <w:rFonts w:ascii="仿宋" w:eastAsia="仿宋" w:hAnsi="仿宋" w:cs="宋体"/>
                <w:color w:val="000000"/>
                <w:sz w:val="24"/>
                <w:szCs w:val="24"/>
              </w:rPr>
            </w:pPr>
            <w:r w:rsidRPr="00F93DEC">
              <w:rPr>
                <w:rFonts w:ascii="仿宋" w:eastAsia="仿宋" w:hAnsi="仿宋" w:cs="宋体" w:hint="eastAsia"/>
                <w:color w:val="000000"/>
                <w:sz w:val="24"/>
                <w:szCs w:val="24"/>
              </w:rPr>
              <w:t>3、提供标准的内存原厂硬件质保</w:t>
            </w:r>
          </w:p>
          <w:p w:rsidR="00F93DEC" w:rsidRPr="00F93DEC" w:rsidRDefault="00D9721B" w:rsidP="00B04631">
            <w:pPr>
              <w:widowControl/>
              <w:jc w:val="left"/>
              <w:textAlignment w:val="center"/>
              <w:rPr>
                <w:rFonts w:ascii="仿宋" w:eastAsia="仿宋" w:hAnsi="仿宋" w:cs="宋体"/>
                <w:b/>
                <w:bCs/>
                <w:color w:val="000000"/>
                <w:sz w:val="24"/>
                <w:szCs w:val="24"/>
                <w:lang w:bidi="ar"/>
              </w:rPr>
            </w:pPr>
            <w:r>
              <w:rPr>
                <w:rFonts w:ascii="仿宋" w:eastAsia="仿宋" w:hAnsi="仿宋" w:cs="宋体" w:hint="eastAsia"/>
                <w:b/>
                <w:bCs/>
                <w:color w:val="000000"/>
                <w:kern w:val="0"/>
                <w:sz w:val="24"/>
                <w:szCs w:val="24"/>
                <w:lang w:bidi="ar"/>
              </w:rPr>
              <w:t>二、</w:t>
            </w:r>
            <w:r w:rsidR="00F93DEC" w:rsidRPr="00F93DEC">
              <w:rPr>
                <w:rFonts w:ascii="仿宋" w:eastAsia="仿宋" w:hAnsi="仿宋" w:cs="宋体" w:hint="eastAsia"/>
                <w:b/>
                <w:bCs/>
                <w:color w:val="000000"/>
                <w:kern w:val="0"/>
                <w:sz w:val="24"/>
                <w:szCs w:val="24"/>
                <w:lang w:bidi="ar"/>
              </w:rPr>
              <w:t>技术服务要求：</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1.虚拟化扩容方案设计：结合现有VM虚拟化集群架构，制定涵盖虚拟化调度、迁移、高可用功能、数据保护的扩容实施方案；</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2.虚拟化兼容性测试：扩容前完成内存与虚拟化平台、虚拟机操作系统、虚拟化管理组件的全流程兼容性验证；</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3.虚拟化主机数据迁移：扩容前完成对应主机的虚拟机迁移和数据迁移，确保所有业务不受影响；</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4.内存扩容实施：按最佳实践关闭虚拟化服务器主机，6 台虚拟化主机内存现场安装、开机虚拟化识别、虚拟化集群资源重新均衡配置；</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5.扩容完成后功能验证：虚拟机在线迁移、高可用切换、快照创建、资源弹性分配、虚拟化管理平台稳定性测试；</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6.集群性能调优：扩容后优化虚拟化内存调度策略、集群负载均衡参数，最大化虚拟化平台性能；</w:t>
            </w:r>
          </w:p>
          <w:p w:rsidR="00F93DEC" w:rsidRPr="00F93DEC" w:rsidRDefault="00F93DEC" w:rsidP="00B04631">
            <w:pPr>
              <w:rPr>
                <w:rFonts w:ascii="仿宋" w:eastAsia="仿宋" w:hAnsi="仿宋"/>
                <w:sz w:val="24"/>
                <w:szCs w:val="24"/>
                <w:lang w:bidi="ar"/>
              </w:rPr>
            </w:pPr>
            <w:r w:rsidRPr="00F93DEC">
              <w:rPr>
                <w:rFonts w:ascii="仿宋" w:eastAsia="仿宋" w:hAnsi="仿宋" w:hint="eastAsia"/>
                <w:sz w:val="24"/>
                <w:szCs w:val="24"/>
                <w:lang w:bidi="ar"/>
              </w:rPr>
              <w:t>7、应急预案：当更换内存导致服务器无法正常启动，无法恢复加入集群时，提供必要的应急方案和资源，保障平台稳定运行。</w:t>
            </w:r>
          </w:p>
          <w:p w:rsidR="00F93DEC" w:rsidRPr="00F93DEC" w:rsidRDefault="00D9721B" w:rsidP="00B04631">
            <w:pPr>
              <w:rPr>
                <w:rFonts w:ascii="仿宋" w:eastAsia="仿宋" w:hAnsi="仿宋"/>
                <w:b/>
                <w:bCs/>
                <w:sz w:val="24"/>
                <w:szCs w:val="24"/>
                <w:lang w:bidi="ar"/>
              </w:rPr>
            </w:pPr>
            <w:r>
              <w:rPr>
                <w:rFonts w:ascii="仿宋" w:eastAsia="仿宋" w:hAnsi="仿宋" w:hint="eastAsia"/>
                <w:b/>
                <w:bCs/>
                <w:sz w:val="24"/>
                <w:szCs w:val="24"/>
                <w:lang w:bidi="ar"/>
              </w:rPr>
              <w:t>三、</w:t>
            </w:r>
            <w:r w:rsidR="00F93DEC" w:rsidRPr="00F93DEC">
              <w:rPr>
                <w:rFonts w:ascii="仿宋" w:eastAsia="仿宋" w:hAnsi="仿宋" w:hint="eastAsia"/>
                <w:b/>
                <w:bCs/>
                <w:sz w:val="24"/>
                <w:szCs w:val="24"/>
                <w:lang w:bidi="ar"/>
              </w:rPr>
              <w:t>实施要求：</w:t>
            </w:r>
          </w:p>
          <w:p w:rsidR="00F93DEC" w:rsidRPr="00F93DEC" w:rsidRDefault="00F93DEC" w:rsidP="00B04631">
            <w:pPr>
              <w:widowControl/>
              <w:jc w:val="left"/>
              <w:textAlignment w:val="center"/>
              <w:rPr>
                <w:rFonts w:ascii="仿宋" w:eastAsia="仿宋" w:hAnsi="仿宋" w:cs="宋体"/>
                <w:color w:val="000000"/>
                <w:sz w:val="24"/>
                <w:szCs w:val="24"/>
                <w:lang w:bidi="ar"/>
              </w:rPr>
            </w:pPr>
            <w:r w:rsidRPr="00F93DEC">
              <w:rPr>
                <w:rFonts w:ascii="仿宋" w:eastAsia="仿宋" w:hAnsi="仿宋" w:cs="宋体" w:hint="eastAsia"/>
                <w:color w:val="000000"/>
                <w:kern w:val="0"/>
                <w:sz w:val="24"/>
                <w:szCs w:val="24"/>
                <w:lang w:bidi="ar"/>
              </w:rPr>
              <w:t>投标供应商的实施工程师需具备VMware VCAP虚拟化认证证书，保障实施操作质量；提供工程师的证书原件及官方查询证明截图。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EC" w:rsidRPr="00F93DEC" w:rsidRDefault="00F93DEC" w:rsidP="00B04631">
            <w:pPr>
              <w:widowControl/>
              <w:jc w:val="center"/>
              <w:textAlignment w:val="center"/>
              <w:rPr>
                <w:rFonts w:ascii="仿宋" w:eastAsia="仿宋" w:hAnsi="仿宋" w:cs="宋体"/>
                <w:color w:val="000000"/>
                <w:sz w:val="24"/>
                <w:szCs w:val="24"/>
              </w:rPr>
            </w:pPr>
            <w:r w:rsidRPr="00F93DEC">
              <w:rPr>
                <w:rFonts w:ascii="仿宋" w:eastAsia="仿宋" w:hAnsi="仿宋" w:cs="宋体" w:hint="eastAsia"/>
                <w:color w:val="000000"/>
                <w:kern w:val="0"/>
                <w:sz w:val="24"/>
                <w:szCs w:val="24"/>
                <w:lang w:bidi="ar"/>
              </w:rPr>
              <w:t>1</w:t>
            </w:r>
          </w:p>
        </w:tc>
      </w:tr>
    </w:tbl>
    <w:p w:rsidR="00F93DEC" w:rsidRPr="00F93DEC" w:rsidRDefault="00F93DEC" w:rsidP="00F93DEC">
      <w:pPr>
        <w:spacing w:line="460" w:lineRule="exact"/>
        <w:rPr>
          <w:rFonts w:ascii="仿宋" w:eastAsia="仿宋" w:hAnsi="仿宋"/>
          <w:b/>
          <w:sz w:val="24"/>
          <w:szCs w:val="24"/>
        </w:rPr>
      </w:pPr>
    </w:p>
    <w:sectPr w:rsidR="00F93DEC" w:rsidRPr="00F93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B935E"/>
    <w:multiLevelType w:val="singleLevel"/>
    <w:tmpl w:val="E3FB935E"/>
    <w:lvl w:ilvl="0">
      <w:start w:val="1"/>
      <w:numFmt w:val="decimal"/>
      <w:suff w:val="nothing"/>
      <w:lvlText w:val="%1、"/>
      <w:lvlJc w:val="left"/>
    </w:lvl>
  </w:abstractNum>
  <w:abstractNum w:abstractNumId="1">
    <w:nsid w:val="066E79DE"/>
    <w:multiLevelType w:val="singleLevel"/>
    <w:tmpl w:val="066E79DE"/>
    <w:lvl w:ilvl="0">
      <w:start w:val="2"/>
      <w:numFmt w:val="decimal"/>
      <w:suff w:val="nothing"/>
      <w:lvlText w:val="（%1）"/>
      <w:lvlJc w:val="left"/>
    </w:lvl>
  </w:abstractNum>
  <w:abstractNum w:abstractNumId="2">
    <w:nsid w:val="21771C31"/>
    <w:multiLevelType w:val="multilevel"/>
    <w:tmpl w:val="21771C31"/>
    <w:lvl w:ilvl="0">
      <w:start w:val="1"/>
      <w:numFmt w:val="japaneseCounting"/>
      <w:lvlText w:val="%1、"/>
      <w:lvlJc w:val="left"/>
      <w:pPr>
        <w:ind w:left="992" w:hanging="510"/>
      </w:pPr>
      <w:rPr>
        <w:rFonts w:hint="default"/>
        <w:b/>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49C84E61"/>
    <w:multiLevelType w:val="hybridMultilevel"/>
    <w:tmpl w:val="B970B1BC"/>
    <w:lvl w:ilvl="0" w:tplc="C69CCEF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68AD0AAE"/>
    <w:multiLevelType w:val="hybridMultilevel"/>
    <w:tmpl w:val="99C20DA6"/>
    <w:lvl w:ilvl="0" w:tplc="36DCE2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91795"/>
    <w:rsid w:val="000A14C9"/>
    <w:rsid w:val="000B1D4A"/>
    <w:rsid w:val="000B47AE"/>
    <w:rsid w:val="000C0B4B"/>
    <w:rsid w:val="000C1EB3"/>
    <w:rsid w:val="000D1B1B"/>
    <w:rsid w:val="00111EFC"/>
    <w:rsid w:val="00114AA3"/>
    <w:rsid w:val="0012342B"/>
    <w:rsid w:val="001263CF"/>
    <w:rsid w:val="00127F7C"/>
    <w:rsid w:val="001401EA"/>
    <w:rsid w:val="001522E2"/>
    <w:rsid w:val="00172759"/>
    <w:rsid w:val="00173D7F"/>
    <w:rsid w:val="00184EFF"/>
    <w:rsid w:val="00185CB0"/>
    <w:rsid w:val="00187B91"/>
    <w:rsid w:val="001A5E80"/>
    <w:rsid w:val="001B3F77"/>
    <w:rsid w:val="001C100B"/>
    <w:rsid w:val="001C6B3E"/>
    <w:rsid w:val="001D35A9"/>
    <w:rsid w:val="001F4662"/>
    <w:rsid w:val="00222E82"/>
    <w:rsid w:val="00270F03"/>
    <w:rsid w:val="002D37DC"/>
    <w:rsid w:val="002E3506"/>
    <w:rsid w:val="002E7EFD"/>
    <w:rsid w:val="002F30E8"/>
    <w:rsid w:val="00323769"/>
    <w:rsid w:val="00326E8F"/>
    <w:rsid w:val="00332B0E"/>
    <w:rsid w:val="0035405B"/>
    <w:rsid w:val="00354AF6"/>
    <w:rsid w:val="003678EC"/>
    <w:rsid w:val="00384CD8"/>
    <w:rsid w:val="003A242A"/>
    <w:rsid w:val="003D67EF"/>
    <w:rsid w:val="003F5670"/>
    <w:rsid w:val="004138C0"/>
    <w:rsid w:val="00421101"/>
    <w:rsid w:val="004379CF"/>
    <w:rsid w:val="00443767"/>
    <w:rsid w:val="00457B04"/>
    <w:rsid w:val="004718C5"/>
    <w:rsid w:val="00481DA5"/>
    <w:rsid w:val="00487B01"/>
    <w:rsid w:val="00495935"/>
    <w:rsid w:val="004A0198"/>
    <w:rsid w:val="004A3173"/>
    <w:rsid w:val="004B46F9"/>
    <w:rsid w:val="004C0233"/>
    <w:rsid w:val="004C0756"/>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A475F"/>
    <w:rsid w:val="005A7345"/>
    <w:rsid w:val="005C1E36"/>
    <w:rsid w:val="005C5E7E"/>
    <w:rsid w:val="005C60FB"/>
    <w:rsid w:val="005C6A46"/>
    <w:rsid w:val="005F4292"/>
    <w:rsid w:val="0060268D"/>
    <w:rsid w:val="00607678"/>
    <w:rsid w:val="00610978"/>
    <w:rsid w:val="00625633"/>
    <w:rsid w:val="00630477"/>
    <w:rsid w:val="0069561D"/>
    <w:rsid w:val="006A58B4"/>
    <w:rsid w:val="006B04E2"/>
    <w:rsid w:val="006C06A4"/>
    <w:rsid w:val="006C784E"/>
    <w:rsid w:val="006D067E"/>
    <w:rsid w:val="006E0E9D"/>
    <w:rsid w:val="006E5DEF"/>
    <w:rsid w:val="006F33A0"/>
    <w:rsid w:val="007115C1"/>
    <w:rsid w:val="00726D9D"/>
    <w:rsid w:val="00742ADD"/>
    <w:rsid w:val="00745806"/>
    <w:rsid w:val="00746C19"/>
    <w:rsid w:val="00752C24"/>
    <w:rsid w:val="00752FA5"/>
    <w:rsid w:val="00765E9E"/>
    <w:rsid w:val="00776BB9"/>
    <w:rsid w:val="00783832"/>
    <w:rsid w:val="00793C17"/>
    <w:rsid w:val="007A101C"/>
    <w:rsid w:val="007C02F7"/>
    <w:rsid w:val="007E043B"/>
    <w:rsid w:val="007E5635"/>
    <w:rsid w:val="00805155"/>
    <w:rsid w:val="00805A89"/>
    <w:rsid w:val="00806320"/>
    <w:rsid w:val="00807F88"/>
    <w:rsid w:val="00816B53"/>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76098"/>
    <w:rsid w:val="00996666"/>
    <w:rsid w:val="009A685E"/>
    <w:rsid w:val="009D0887"/>
    <w:rsid w:val="009D4C11"/>
    <w:rsid w:val="00A0024C"/>
    <w:rsid w:val="00A05661"/>
    <w:rsid w:val="00A2469D"/>
    <w:rsid w:val="00A26960"/>
    <w:rsid w:val="00A30FCC"/>
    <w:rsid w:val="00A35CEB"/>
    <w:rsid w:val="00A41939"/>
    <w:rsid w:val="00A45071"/>
    <w:rsid w:val="00A76D06"/>
    <w:rsid w:val="00A76F9C"/>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C1167"/>
    <w:rsid w:val="00BF3F93"/>
    <w:rsid w:val="00BF70A6"/>
    <w:rsid w:val="00BF7405"/>
    <w:rsid w:val="00C03A15"/>
    <w:rsid w:val="00C20864"/>
    <w:rsid w:val="00C455CD"/>
    <w:rsid w:val="00C56C0E"/>
    <w:rsid w:val="00CA6AD5"/>
    <w:rsid w:val="00CB7A22"/>
    <w:rsid w:val="00CC17C0"/>
    <w:rsid w:val="00CC73C8"/>
    <w:rsid w:val="00CE645F"/>
    <w:rsid w:val="00D152C1"/>
    <w:rsid w:val="00D263FE"/>
    <w:rsid w:val="00D27301"/>
    <w:rsid w:val="00D46BF3"/>
    <w:rsid w:val="00D77246"/>
    <w:rsid w:val="00D81024"/>
    <w:rsid w:val="00D9578F"/>
    <w:rsid w:val="00D9721B"/>
    <w:rsid w:val="00DA126F"/>
    <w:rsid w:val="00DB48B5"/>
    <w:rsid w:val="00DC0E5E"/>
    <w:rsid w:val="00DC2ABD"/>
    <w:rsid w:val="00DC323F"/>
    <w:rsid w:val="00DD77DF"/>
    <w:rsid w:val="00DE0172"/>
    <w:rsid w:val="00E01BA6"/>
    <w:rsid w:val="00E22958"/>
    <w:rsid w:val="00E27E21"/>
    <w:rsid w:val="00E43FF3"/>
    <w:rsid w:val="00E523B4"/>
    <w:rsid w:val="00E6424F"/>
    <w:rsid w:val="00E74E35"/>
    <w:rsid w:val="00E77213"/>
    <w:rsid w:val="00E80B84"/>
    <w:rsid w:val="00E95602"/>
    <w:rsid w:val="00EA4553"/>
    <w:rsid w:val="00EB425A"/>
    <w:rsid w:val="00EB6089"/>
    <w:rsid w:val="00EC7811"/>
    <w:rsid w:val="00EF763D"/>
    <w:rsid w:val="00F120A4"/>
    <w:rsid w:val="00F324E7"/>
    <w:rsid w:val="00F424CE"/>
    <w:rsid w:val="00F510D6"/>
    <w:rsid w:val="00F77E5F"/>
    <w:rsid w:val="00F855E6"/>
    <w:rsid w:val="00F90573"/>
    <w:rsid w:val="00F93DEC"/>
    <w:rsid w:val="00FB5931"/>
    <w:rsid w:val="00FD0BCB"/>
    <w:rsid w:val="00FE3A9D"/>
    <w:rsid w:val="00FF2C9C"/>
    <w:rsid w:val="0F7B58C1"/>
    <w:rsid w:val="11A21718"/>
    <w:rsid w:val="129220B4"/>
    <w:rsid w:val="154C07F6"/>
    <w:rsid w:val="282A0FBD"/>
    <w:rsid w:val="34027EA3"/>
    <w:rsid w:val="3B623012"/>
    <w:rsid w:val="40E6595D"/>
    <w:rsid w:val="488E23A0"/>
    <w:rsid w:val="547520AF"/>
    <w:rsid w:val="5C5E5C67"/>
    <w:rsid w:val="64265F03"/>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0C6423-BFE1-4CE3-A154-11D9139E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11</cp:revision>
  <dcterms:created xsi:type="dcterms:W3CDTF">2026-03-16T02:26:00Z</dcterms:created>
  <dcterms:modified xsi:type="dcterms:W3CDTF">2026-05-29T01:59:00Z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8220532768DB465A9E014035E1B12645_12</vt:lpwstr>
  </property>
  <property fmtid="{D5CDD505-2E9C-101B-9397-08002B2CF9AE}" pid="4" name="KSOTemplateDocerSaveRecord">
    <vt:lpwstr>eyJoZGlkIjoiMjA5YWMxNmFiYWZhZDBjNTI4ZjUzNjAzMjQyMjQxYjAiLCJ1c2VySWQiOiI0MTU2NjM4NTIifQ==</vt:lpwstr>
  </property>
</Properties>
</file>